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3101" w14:textId="403736D9" w:rsidR="00152FF9" w:rsidRPr="00AB00FE" w:rsidRDefault="007F544C" w:rsidP="00BE498B">
      <w:pPr>
        <w:jc w:val="both"/>
        <w:rPr>
          <w:rFonts w:ascii="Arial" w:eastAsia="Arial Unicode MS" w:hAnsi="Arial" w:cs="Arial"/>
        </w:rPr>
      </w:pPr>
      <w:r>
        <w:rPr>
          <w:rFonts w:ascii="Arial" w:eastAsia="Arial Unicode MS" w:hAnsi="Arial" w:cs="Arial"/>
          <w:lang w:val="fr-CA"/>
        </w:rPr>
        <w:t xml:space="preserve">  </w:t>
      </w:r>
    </w:p>
    <w:p w14:paraId="7899CF72" w14:textId="77777777" w:rsidR="00B40941" w:rsidRPr="00AB00FE" w:rsidRDefault="004F64A4" w:rsidP="00BE498B">
      <w:pPr>
        <w:spacing w:line="276" w:lineRule="auto"/>
        <w:jc w:val="both"/>
        <w:rPr>
          <w:rFonts w:ascii="Arial" w:eastAsia="Arial Unicode MS" w:hAnsi="Arial" w:cs="Arial"/>
        </w:rPr>
      </w:pPr>
      <w:r>
        <w:rPr>
          <w:rFonts w:ascii="Arial" w:hAnsi="Arial" w:cs="Arial"/>
          <w:noProof/>
          <w:lang w:val="fr-CA"/>
        </w:rPr>
        <w:drawing>
          <wp:inline distT="0" distB="0" distL="0" distR="0" wp14:anchorId="3C7EF351" wp14:editId="6D49349A">
            <wp:extent cx="6057900" cy="2095500"/>
            <wp:effectExtent l="19050" t="0" r="0" b="0"/>
            <wp:docPr id="1" name="Picture 1"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CCLogo"/>
                    <pic:cNvPicPr>
                      <a:picLocks noChangeAspect="1" noChangeArrowheads="1"/>
                    </pic:cNvPicPr>
                  </pic:nvPicPr>
                  <pic:blipFill>
                    <a:blip r:embed="rId8" cstate="print"/>
                    <a:srcRect/>
                    <a:stretch>
                      <a:fillRect/>
                    </a:stretch>
                  </pic:blipFill>
                  <pic:spPr bwMode="auto">
                    <a:xfrm>
                      <a:off x="0" y="0"/>
                      <a:ext cx="6057900" cy="2095500"/>
                    </a:xfrm>
                    <a:prstGeom prst="rect">
                      <a:avLst/>
                    </a:prstGeom>
                    <a:noFill/>
                    <a:ln w="9525">
                      <a:noFill/>
                      <a:miter lim="800000"/>
                      <a:headEnd/>
                      <a:tailEnd/>
                    </a:ln>
                  </pic:spPr>
                </pic:pic>
              </a:graphicData>
            </a:graphic>
          </wp:inline>
        </w:drawing>
      </w:r>
    </w:p>
    <w:p w14:paraId="3FB851AF" w14:textId="77777777" w:rsidR="00B40941" w:rsidRPr="00AB00FE" w:rsidRDefault="00B40941" w:rsidP="00BE498B">
      <w:pPr>
        <w:spacing w:line="276" w:lineRule="auto"/>
        <w:jc w:val="both"/>
        <w:rPr>
          <w:rFonts w:ascii="Arial" w:eastAsia="Arial Unicode MS" w:hAnsi="Arial" w:cs="Arial"/>
        </w:rPr>
      </w:pPr>
    </w:p>
    <w:p w14:paraId="1D22776D" w14:textId="77777777" w:rsidR="00B40941" w:rsidRPr="00AB00FE" w:rsidRDefault="00B40941" w:rsidP="00BE498B">
      <w:pPr>
        <w:spacing w:line="276" w:lineRule="auto"/>
        <w:jc w:val="both"/>
        <w:rPr>
          <w:rFonts w:ascii="Arial" w:eastAsia="Arial Unicode MS" w:hAnsi="Arial" w:cs="Arial"/>
        </w:rPr>
      </w:pPr>
    </w:p>
    <w:p w14:paraId="4E4C43B3" w14:textId="77777777" w:rsidR="00B40941" w:rsidRPr="00AB00FE" w:rsidRDefault="00B40941" w:rsidP="00BE498B">
      <w:pPr>
        <w:spacing w:line="276" w:lineRule="auto"/>
        <w:jc w:val="both"/>
        <w:rPr>
          <w:rFonts w:ascii="Arial" w:eastAsia="Arial Unicode MS" w:hAnsi="Arial" w:cs="Arial"/>
        </w:rPr>
      </w:pPr>
    </w:p>
    <w:p w14:paraId="5ECDFF38" w14:textId="77777777" w:rsidR="00CF0C70" w:rsidRPr="00AB00FE" w:rsidRDefault="00CF0C70" w:rsidP="00BE498B">
      <w:pPr>
        <w:spacing w:line="276" w:lineRule="auto"/>
        <w:jc w:val="both"/>
        <w:rPr>
          <w:rFonts w:ascii="Arial" w:eastAsia="Arial Unicode MS" w:hAnsi="Arial" w:cs="Arial"/>
        </w:rPr>
      </w:pPr>
    </w:p>
    <w:p w14:paraId="1FC4F557" w14:textId="77777777" w:rsidR="00CF0C70" w:rsidRPr="00AB00FE" w:rsidRDefault="00CF0C70" w:rsidP="00BE498B">
      <w:pPr>
        <w:spacing w:line="276" w:lineRule="auto"/>
        <w:jc w:val="both"/>
        <w:rPr>
          <w:rFonts w:ascii="Arial" w:eastAsia="Arial Unicode MS" w:hAnsi="Arial" w:cs="Arial"/>
        </w:rPr>
      </w:pPr>
    </w:p>
    <w:p w14:paraId="6204D6F5" w14:textId="77777777" w:rsidR="00B40941" w:rsidRPr="00AB00FE" w:rsidRDefault="00B40941" w:rsidP="00EB5FD3">
      <w:pPr>
        <w:spacing w:line="276" w:lineRule="auto"/>
        <w:jc w:val="center"/>
        <w:rPr>
          <w:rFonts w:ascii="Arial" w:eastAsia="Arial Unicode MS" w:hAnsi="Arial" w:cs="Arial"/>
        </w:rPr>
      </w:pPr>
    </w:p>
    <w:p w14:paraId="6EB7525D" w14:textId="5BC7F2ED" w:rsidR="0039007B" w:rsidRPr="00AB00FE" w:rsidRDefault="004664E4" w:rsidP="00EB5FD3">
      <w:pPr>
        <w:spacing w:line="276" w:lineRule="auto"/>
        <w:jc w:val="center"/>
        <w:rPr>
          <w:rFonts w:ascii="Arial" w:eastAsia="Arial Unicode MS" w:hAnsi="Arial" w:cs="Arial"/>
          <w:sz w:val="40"/>
          <w:szCs w:val="40"/>
        </w:rPr>
      </w:pPr>
      <w:r>
        <w:rPr>
          <w:rFonts w:ascii="Arial" w:eastAsia="Arial Unicode MS" w:hAnsi="Arial" w:cs="Arial"/>
          <w:sz w:val="40"/>
          <w:szCs w:val="40"/>
          <w:lang w:val="fr-CA"/>
        </w:rPr>
        <w:t>2022</w:t>
      </w:r>
    </w:p>
    <w:p w14:paraId="09DFA011" w14:textId="77777777" w:rsidR="0039007B" w:rsidRPr="00AB00FE" w:rsidRDefault="0039007B" w:rsidP="00EB5FD3">
      <w:pPr>
        <w:spacing w:line="276" w:lineRule="auto"/>
        <w:jc w:val="center"/>
        <w:rPr>
          <w:rFonts w:ascii="Arial" w:eastAsia="Arial Unicode MS" w:hAnsi="Arial" w:cs="Arial"/>
          <w:sz w:val="40"/>
          <w:szCs w:val="40"/>
        </w:rPr>
      </w:pPr>
      <w:r>
        <w:rPr>
          <w:rFonts w:ascii="Arial" w:eastAsia="Arial Unicode MS" w:hAnsi="Arial" w:cs="Arial"/>
          <w:sz w:val="40"/>
          <w:szCs w:val="40"/>
          <w:lang w:val="fr-CA"/>
        </w:rPr>
        <w:t>RAPPORT ANNUEL</w:t>
      </w:r>
    </w:p>
    <w:p w14:paraId="630C5D67" w14:textId="0C059E19" w:rsidR="0039007B" w:rsidRPr="00AB00FE" w:rsidRDefault="0039007B" w:rsidP="00EB5FD3">
      <w:pPr>
        <w:spacing w:line="276" w:lineRule="auto"/>
        <w:jc w:val="center"/>
        <w:rPr>
          <w:rFonts w:ascii="Arial" w:eastAsia="Arial Unicode MS" w:hAnsi="Arial" w:cs="Arial"/>
          <w:sz w:val="40"/>
          <w:szCs w:val="40"/>
        </w:rPr>
      </w:pPr>
      <w:r>
        <w:rPr>
          <w:rFonts w:ascii="Arial" w:eastAsia="Arial Unicode MS" w:hAnsi="Arial" w:cs="Arial"/>
          <w:sz w:val="40"/>
          <w:szCs w:val="40"/>
          <w:lang w:val="fr-CA"/>
        </w:rPr>
        <w:t xml:space="preserve">CONSEIL D’EXAMEN DES TAUX </w:t>
      </w:r>
      <w:r w:rsidR="00910A55">
        <w:rPr>
          <w:rFonts w:ascii="Arial" w:eastAsia="Arial Unicode MS" w:hAnsi="Arial" w:cs="Arial"/>
          <w:sz w:val="40"/>
          <w:szCs w:val="40"/>
          <w:lang w:val="fr-CA"/>
        </w:rPr>
        <w:t>DES </w:t>
      </w:r>
      <w:r>
        <w:rPr>
          <w:rFonts w:ascii="Arial" w:eastAsia="Arial Unicode MS" w:hAnsi="Arial" w:cs="Arial"/>
          <w:sz w:val="40"/>
          <w:szCs w:val="40"/>
          <w:lang w:val="fr-CA"/>
        </w:rPr>
        <w:t>ENTREPRISES DE SERVICE DU NUNAVUT</w:t>
      </w:r>
    </w:p>
    <w:p w14:paraId="6C681F38" w14:textId="77777777" w:rsidR="00B40941" w:rsidRPr="00AB00FE" w:rsidRDefault="00B40941" w:rsidP="00EB5FD3">
      <w:pPr>
        <w:spacing w:line="276" w:lineRule="auto"/>
        <w:jc w:val="center"/>
        <w:rPr>
          <w:rFonts w:ascii="Arial" w:eastAsia="Arial Unicode MS" w:hAnsi="Arial" w:cs="Arial"/>
        </w:rPr>
      </w:pPr>
    </w:p>
    <w:p w14:paraId="71828946" w14:textId="77777777" w:rsidR="0039007B" w:rsidRPr="00AB00FE" w:rsidRDefault="0039007B" w:rsidP="00EB5FD3">
      <w:pPr>
        <w:jc w:val="center"/>
        <w:rPr>
          <w:rFonts w:ascii="Arial" w:eastAsia="Arial Unicode MS" w:hAnsi="Arial" w:cs="Arial"/>
        </w:rPr>
      </w:pPr>
      <w:r>
        <w:rPr>
          <w:rFonts w:ascii="Arial" w:eastAsia="Arial Unicode MS" w:hAnsi="Arial" w:cs="Arial"/>
          <w:lang w:val="fr-CA"/>
        </w:rPr>
        <w:br w:type="page"/>
      </w:r>
    </w:p>
    <w:p w14:paraId="37D92BDB" w14:textId="77777777" w:rsidR="00B40941" w:rsidRPr="00AB00FE" w:rsidRDefault="00B40941" w:rsidP="00BE498B">
      <w:pPr>
        <w:spacing w:line="276" w:lineRule="auto"/>
        <w:jc w:val="both"/>
        <w:rPr>
          <w:rFonts w:ascii="Arial" w:eastAsia="Arial Unicode MS" w:hAnsi="Arial" w:cs="Arial"/>
        </w:rPr>
      </w:pPr>
    </w:p>
    <w:p w14:paraId="217439EA" w14:textId="77777777" w:rsidR="0039007B" w:rsidRPr="00AB00FE" w:rsidRDefault="0039007B" w:rsidP="00BE498B">
      <w:pPr>
        <w:spacing w:line="276" w:lineRule="auto"/>
        <w:jc w:val="both"/>
        <w:rPr>
          <w:rFonts w:ascii="Arial" w:eastAsia="Arial Unicode MS" w:hAnsi="Arial" w:cs="Arial"/>
        </w:rPr>
      </w:pPr>
    </w:p>
    <w:p w14:paraId="02DE992F" w14:textId="77777777" w:rsidR="0039007B" w:rsidRPr="00AB00FE" w:rsidRDefault="0039007B" w:rsidP="00BE498B">
      <w:pPr>
        <w:spacing w:line="276" w:lineRule="auto"/>
        <w:jc w:val="both"/>
        <w:rPr>
          <w:rFonts w:ascii="Arial" w:eastAsia="Arial Unicode MS" w:hAnsi="Arial" w:cs="Arial"/>
        </w:rPr>
      </w:pPr>
    </w:p>
    <w:p w14:paraId="30A74504" w14:textId="77777777" w:rsidR="0039007B" w:rsidRPr="00AB00FE" w:rsidRDefault="0039007B" w:rsidP="00BE498B">
      <w:pPr>
        <w:spacing w:line="276" w:lineRule="auto"/>
        <w:jc w:val="both"/>
        <w:rPr>
          <w:rFonts w:ascii="Arial" w:eastAsia="Arial Unicode MS" w:hAnsi="Arial" w:cs="Arial"/>
        </w:rPr>
      </w:pPr>
    </w:p>
    <w:p w14:paraId="1C0F72FD" w14:textId="77777777" w:rsidR="0039007B" w:rsidRPr="00AB00FE" w:rsidRDefault="0039007B" w:rsidP="00BE498B">
      <w:pPr>
        <w:spacing w:line="276" w:lineRule="auto"/>
        <w:jc w:val="both"/>
        <w:rPr>
          <w:rFonts w:ascii="Arial" w:eastAsia="Arial Unicode MS" w:hAnsi="Arial" w:cs="Arial"/>
        </w:rPr>
      </w:pPr>
    </w:p>
    <w:p w14:paraId="17BB17CC" w14:textId="77777777" w:rsidR="0039007B" w:rsidRPr="00AB00FE" w:rsidRDefault="0039007B" w:rsidP="00BE498B">
      <w:pPr>
        <w:spacing w:line="276" w:lineRule="auto"/>
        <w:jc w:val="both"/>
        <w:rPr>
          <w:rFonts w:ascii="Arial" w:eastAsia="Arial Unicode MS" w:hAnsi="Arial" w:cs="Arial"/>
        </w:rPr>
      </w:pPr>
    </w:p>
    <w:p w14:paraId="7F8CB650" w14:textId="77777777" w:rsidR="0039007B" w:rsidRPr="00AB00FE" w:rsidRDefault="0039007B" w:rsidP="00BE498B">
      <w:pPr>
        <w:spacing w:line="276" w:lineRule="auto"/>
        <w:jc w:val="both"/>
        <w:rPr>
          <w:rFonts w:ascii="Arial" w:eastAsia="Arial Unicode MS" w:hAnsi="Arial" w:cs="Arial"/>
        </w:rPr>
      </w:pPr>
    </w:p>
    <w:p w14:paraId="543B06A9" w14:textId="77777777" w:rsidR="0039007B" w:rsidRPr="00AB00FE" w:rsidRDefault="0039007B" w:rsidP="00BE498B">
      <w:pPr>
        <w:spacing w:line="276" w:lineRule="auto"/>
        <w:jc w:val="both"/>
        <w:rPr>
          <w:rFonts w:ascii="Arial" w:eastAsia="Arial Unicode MS" w:hAnsi="Arial" w:cs="Arial"/>
        </w:rPr>
      </w:pPr>
    </w:p>
    <w:p w14:paraId="777B54F0" w14:textId="77777777" w:rsidR="0039007B" w:rsidRPr="00AB00FE" w:rsidRDefault="0039007B" w:rsidP="00EB5FD3">
      <w:pPr>
        <w:spacing w:line="276" w:lineRule="auto"/>
        <w:jc w:val="center"/>
        <w:rPr>
          <w:rFonts w:ascii="Arial" w:eastAsia="Arial Unicode MS" w:hAnsi="Arial" w:cs="Arial"/>
        </w:rPr>
      </w:pPr>
    </w:p>
    <w:p w14:paraId="51766955" w14:textId="77777777" w:rsidR="0039007B" w:rsidRPr="00AB00FE" w:rsidRDefault="0039007B" w:rsidP="00EB5FD3">
      <w:pPr>
        <w:spacing w:line="276" w:lineRule="auto"/>
        <w:jc w:val="center"/>
        <w:rPr>
          <w:rFonts w:ascii="Arial" w:eastAsia="Arial Unicode MS" w:hAnsi="Arial" w:cs="Arial"/>
        </w:rPr>
      </w:pPr>
    </w:p>
    <w:p w14:paraId="46B3BC51" w14:textId="77777777" w:rsidR="0039007B" w:rsidRPr="00AB00FE" w:rsidRDefault="0039007B" w:rsidP="00EB5FD3">
      <w:pPr>
        <w:spacing w:line="276" w:lineRule="auto"/>
        <w:jc w:val="center"/>
        <w:rPr>
          <w:rFonts w:ascii="Arial" w:eastAsia="Arial Unicode MS" w:hAnsi="Arial" w:cs="Arial"/>
        </w:rPr>
      </w:pPr>
    </w:p>
    <w:p w14:paraId="784C527A" w14:textId="77777777" w:rsidR="0039007B" w:rsidRPr="00AB00FE" w:rsidRDefault="0039007B" w:rsidP="00EB5FD3">
      <w:pPr>
        <w:spacing w:line="276" w:lineRule="auto"/>
        <w:jc w:val="center"/>
        <w:rPr>
          <w:rFonts w:ascii="Arial" w:eastAsia="Arial Unicode MS" w:hAnsi="Arial" w:cs="Arial"/>
        </w:rPr>
      </w:pPr>
    </w:p>
    <w:p w14:paraId="23051778" w14:textId="77777777" w:rsidR="0039007B" w:rsidRPr="00AB00FE" w:rsidRDefault="0039007B" w:rsidP="00EB5FD3">
      <w:pPr>
        <w:spacing w:line="276" w:lineRule="auto"/>
        <w:jc w:val="center"/>
        <w:rPr>
          <w:rFonts w:ascii="Arial" w:eastAsia="Arial Unicode MS" w:hAnsi="Arial" w:cs="Arial"/>
        </w:rPr>
      </w:pPr>
    </w:p>
    <w:p w14:paraId="156227E5" w14:textId="4E8ED616" w:rsidR="00B40941" w:rsidRPr="00AB00FE" w:rsidRDefault="00B40941" w:rsidP="00EB5FD3">
      <w:pPr>
        <w:spacing w:line="276" w:lineRule="auto"/>
        <w:jc w:val="center"/>
        <w:rPr>
          <w:rFonts w:ascii="Arial" w:eastAsia="Arial Unicode MS" w:hAnsi="Arial" w:cs="Arial"/>
          <w:b/>
          <w:sz w:val="32"/>
          <w:szCs w:val="32"/>
        </w:rPr>
      </w:pPr>
      <w:r>
        <w:rPr>
          <w:rFonts w:ascii="Arial" w:eastAsia="Arial Unicode MS" w:hAnsi="Arial" w:cs="Arial"/>
          <w:b/>
          <w:bCs/>
          <w:sz w:val="32"/>
          <w:szCs w:val="32"/>
          <w:lang w:val="fr-CA"/>
        </w:rPr>
        <w:t xml:space="preserve">CONSEIL D’EXAMEN DES TAUX DES ENTREPRISES </w:t>
      </w:r>
      <w:r w:rsidR="00910A55">
        <w:rPr>
          <w:rFonts w:ascii="Arial" w:eastAsia="Arial Unicode MS" w:hAnsi="Arial" w:cs="Arial"/>
          <w:b/>
          <w:bCs/>
          <w:sz w:val="32"/>
          <w:szCs w:val="32"/>
          <w:lang w:val="fr-CA"/>
        </w:rPr>
        <w:t>DE </w:t>
      </w:r>
      <w:r>
        <w:rPr>
          <w:rFonts w:ascii="Arial" w:eastAsia="Arial Unicode MS" w:hAnsi="Arial" w:cs="Arial"/>
          <w:b/>
          <w:bCs/>
          <w:sz w:val="32"/>
          <w:szCs w:val="32"/>
          <w:lang w:val="fr-CA"/>
        </w:rPr>
        <w:t>SERVICE DU NUNAVUT</w:t>
      </w:r>
    </w:p>
    <w:p w14:paraId="71A132BD" w14:textId="77777777" w:rsidR="00B40941" w:rsidRPr="00AB00FE" w:rsidRDefault="00B40941" w:rsidP="00EB5FD3">
      <w:pPr>
        <w:spacing w:line="276" w:lineRule="auto"/>
        <w:jc w:val="center"/>
        <w:rPr>
          <w:rFonts w:ascii="Arial" w:eastAsia="Arial Unicode MS" w:hAnsi="Arial" w:cs="Arial"/>
          <w:b/>
          <w:sz w:val="32"/>
          <w:szCs w:val="32"/>
        </w:rPr>
      </w:pPr>
    </w:p>
    <w:p w14:paraId="50245F7D" w14:textId="77777777" w:rsidR="00B40941" w:rsidRPr="00AB00FE" w:rsidRDefault="00B40941" w:rsidP="00EB5FD3">
      <w:pPr>
        <w:spacing w:line="276" w:lineRule="auto"/>
        <w:jc w:val="center"/>
        <w:rPr>
          <w:rFonts w:ascii="Arial" w:eastAsia="Arial Unicode MS" w:hAnsi="Arial" w:cs="Arial"/>
          <w:b/>
          <w:sz w:val="32"/>
          <w:szCs w:val="32"/>
        </w:rPr>
      </w:pPr>
    </w:p>
    <w:p w14:paraId="1E702EBB" w14:textId="77777777" w:rsidR="00B40941" w:rsidRPr="00AB00FE" w:rsidRDefault="00B40941" w:rsidP="00EB5FD3">
      <w:pPr>
        <w:spacing w:line="276" w:lineRule="auto"/>
        <w:jc w:val="center"/>
        <w:rPr>
          <w:rFonts w:ascii="Arial" w:eastAsia="Arial Unicode MS" w:hAnsi="Arial" w:cs="Arial"/>
          <w:b/>
          <w:sz w:val="32"/>
          <w:szCs w:val="32"/>
        </w:rPr>
      </w:pPr>
    </w:p>
    <w:p w14:paraId="50BD7A20" w14:textId="77777777" w:rsidR="00B40941" w:rsidRPr="00AB00FE" w:rsidRDefault="00B40941" w:rsidP="00EB5FD3">
      <w:pPr>
        <w:spacing w:line="276" w:lineRule="auto"/>
        <w:jc w:val="center"/>
        <w:rPr>
          <w:rFonts w:ascii="Arial" w:eastAsia="Arial Unicode MS" w:hAnsi="Arial" w:cs="Arial"/>
          <w:b/>
          <w:sz w:val="32"/>
          <w:szCs w:val="32"/>
        </w:rPr>
      </w:pPr>
      <w:r>
        <w:rPr>
          <w:rFonts w:ascii="Arial" w:eastAsia="Arial Unicode MS" w:hAnsi="Arial" w:cs="Arial"/>
          <w:b/>
          <w:bCs/>
          <w:sz w:val="32"/>
          <w:szCs w:val="32"/>
          <w:lang w:val="fr-CA"/>
        </w:rPr>
        <w:t>RAPPORT ANNUEL</w:t>
      </w:r>
    </w:p>
    <w:p w14:paraId="1002EE53" w14:textId="77777777" w:rsidR="00B40941" w:rsidRPr="00AB00FE" w:rsidRDefault="00B40941" w:rsidP="00EB5FD3">
      <w:pPr>
        <w:spacing w:line="276" w:lineRule="auto"/>
        <w:jc w:val="center"/>
        <w:rPr>
          <w:rFonts w:ascii="Arial" w:eastAsia="Arial Unicode MS" w:hAnsi="Arial" w:cs="Arial"/>
          <w:b/>
          <w:sz w:val="32"/>
          <w:szCs w:val="32"/>
        </w:rPr>
      </w:pPr>
    </w:p>
    <w:p w14:paraId="5B7DB1AE" w14:textId="77777777" w:rsidR="00B40941" w:rsidRPr="00AB00FE" w:rsidRDefault="00B40941" w:rsidP="00EB5FD3">
      <w:pPr>
        <w:spacing w:line="276" w:lineRule="auto"/>
        <w:jc w:val="center"/>
        <w:rPr>
          <w:rFonts w:ascii="Arial" w:eastAsia="Arial Unicode MS" w:hAnsi="Arial" w:cs="Arial"/>
          <w:b/>
          <w:sz w:val="32"/>
          <w:szCs w:val="32"/>
        </w:rPr>
      </w:pPr>
    </w:p>
    <w:p w14:paraId="00163DA7" w14:textId="77777777" w:rsidR="00B40941" w:rsidRPr="00AB00FE" w:rsidRDefault="00B40941" w:rsidP="00EB5FD3">
      <w:pPr>
        <w:spacing w:line="276" w:lineRule="auto"/>
        <w:jc w:val="center"/>
        <w:rPr>
          <w:rFonts w:ascii="Arial" w:eastAsia="Arial Unicode MS" w:hAnsi="Arial" w:cs="Arial"/>
          <w:b/>
          <w:sz w:val="32"/>
          <w:szCs w:val="32"/>
        </w:rPr>
      </w:pPr>
    </w:p>
    <w:p w14:paraId="7047D02F" w14:textId="1FF98D63" w:rsidR="00B40941" w:rsidRPr="00AB00FE" w:rsidRDefault="00B40941" w:rsidP="00EB5FD3">
      <w:pPr>
        <w:spacing w:line="276" w:lineRule="auto"/>
        <w:jc w:val="center"/>
        <w:rPr>
          <w:rFonts w:ascii="Arial" w:eastAsia="Arial Unicode MS" w:hAnsi="Arial" w:cs="Arial"/>
          <w:b/>
          <w:sz w:val="28"/>
          <w:szCs w:val="28"/>
        </w:rPr>
      </w:pPr>
      <w:r>
        <w:rPr>
          <w:rFonts w:ascii="Arial" w:eastAsia="Arial Unicode MS" w:hAnsi="Arial" w:cs="Arial"/>
          <w:b/>
          <w:bCs/>
          <w:sz w:val="28"/>
          <w:szCs w:val="28"/>
          <w:lang w:val="fr-CA"/>
        </w:rPr>
        <w:t>Pour l’année se terminant le 31 décembre 2022</w:t>
      </w:r>
    </w:p>
    <w:p w14:paraId="0E0A94D6" w14:textId="77777777" w:rsidR="00B40941" w:rsidRPr="00AB00FE" w:rsidRDefault="00B40941" w:rsidP="00EB5FD3">
      <w:pPr>
        <w:spacing w:line="276" w:lineRule="auto"/>
        <w:jc w:val="center"/>
        <w:rPr>
          <w:rFonts w:ascii="Arial" w:eastAsia="Arial Unicode MS" w:hAnsi="Arial" w:cs="Arial"/>
          <w:sz w:val="26"/>
          <w:szCs w:val="26"/>
        </w:rPr>
      </w:pPr>
    </w:p>
    <w:p w14:paraId="46FC9D4C" w14:textId="77777777" w:rsidR="00B40941" w:rsidRPr="00AB00FE" w:rsidRDefault="00B40941" w:rsidP="00EB5FD3">
      <w:pPr>
        <w:spacing w:line="276" w:lineRule="auto"/>
        <w:jc w:val="center"/>
        <w:rPr>
          <w:rFonts w:ascii="Arial" w:eastAsia="Arial Unicode MS" w:hAnsi="Arial" w:cs="Arial"/>
          <w:sz w:val="26"/>
          <w:szCs w:val="26"/>
        </w:rPr>
      </w:pPr>
    </w:p>
    <w:p w14:paraId="642B585B" w14:textId="77777777" w:rsidR="00B40941" w:rsidRPr="00AB00FE" w:rsidRDefault="00B40941" w:rsidP="00BE498B">
      <w:pPr>
        <w:spacing w:line="276" w:lineRule="auto"/>
        <w:jc w:val="both"/>
        <w:rPr>
          <w:rFonts w:ascii="Arial" w:eastAsia="Arial Unicode MS" w:hAnsi="Arial" w:cs="Arial"/>
          <w:sz w:val="26"/>
          <w:szCs w:val="26"/>
        </w:rPr>
      </w:pPr>
    </w:p>
    <w:p w14:paraId="6DE97C8A" w14:textId="77777777" w:rsidR="00B40941" w:rsidRPr="00AB00FE" w:rsidRDefault="00B40941" w:rsidP="00BE498B">
      <w:pPr>
        <w:spacing w:line="276" w:lineRule="auto"/>
        <w:jc w:val="both"/>
        <w:rPr>
          <w:rFonts w:ascii="Arial" w:eastAsia="Arial Unicode MS" w:hAnsi="Arial" w:cs="Arial"/>
          <w:sz w:val="26"/>
          <w:szCs w:val="26"/>
        </w:rPr>
      </w:pPr>
    </w:p>
    <w:p w14:paraId="315BA009" w14:textId="77777777" w:rsidR="00B40941" w:rsidRPr="00AB00FE" w:rsidRDefault="00B40941" w:rsidP="00BE498B">
      <w:pPr>
        <w:spacing w:line="276" w:lineRule="auto"/>
        <w:jc w:val="both"/>
        <w:rPr>
          <w:rFonts w:ascii="Arial" w:eastAsia="Arial Unicode MS" w:hAnsi="Arial" w:cs="Arial"/>
          <w:sz w:val="26"/>
          <w:szCs w:val="26"/>
        </w:rPr>
      </w:pPr>
    </w:p>
    <w:p w14:paraId="2317544F" w14:textId="77777777" w:rsidR="00B40941" w:rsidRPr="00AB00FE" w:rsidRDefault="00B40941" w:rsidP="00BE498B">
      <w:pPr>
        <w:spacing w:line="276" w:lineRule="auto"/>
        <w:jc w:val="both"/>
        <w:rPr>
          <w:rFonts w:ascii="Arial" w:eastAsia="Arial Unicode MS" w:hAnsi="Arial" w:cs="Arial"/>
          <w:sz w:val="26"/>
          <w:szCs w:val="26"/>
        </w:rPr>
      </w:pPr>
    </w:p>
    <w:p w14:paraId="510A28C6" w14:textId="77777777" w:rsidR="00B40941" w:rsidRPr="00AB00FE" w:rsidRDefault="00B40941" w:rsidP="00BE498B">
      <w:pPr>
        <w:spacing w:line="276" w:lineRule="auto"/>
        <w:jc w:val="both"/>
        <w:rPr>
          <w:rFonts w:ascii="Arial" w:eastAsia="Arial Unicode MS" w:hAnsi="Arial" w:cs="Arial"/>
          <w:sz w:val="26"/>
          <w:szCs w:val="26"/>
        </w:rPr>
      </w:pPr>
    </w:p>
    <w:p w14:paraId="0DCB181D" w14:textId="77777777" w:rsidR="00B40941" w:rsidRPr="00AB00FE" w:rsidRDefault="00B40941" w:rsidP="00BE498B">
      <w:pPr>
        <w:spacing w:line="276" w:lineRule="auto"/>
        <w:jc w:val="both"/>
        <w:rPr>
          <w:rFonts w:ascii="Arial" w:eastAsia="Arial Unicode MS" w:hAnsi="Arial" w:cs="Arial"/>
          <w:sz w:val="26"/>
          <w:szCs w:val="26"/>
        </w:rPr>
      </w:pPr>
    </w:p>
    <w:p w14:paraId="4368BE64" w14:textId="77777777" w:rsidR="00B40941" w:rsidRPr="00AB00FE" w:rsidRDefault="00B40941" w:rsidP="00BE498B">
      <w:pPr>
        <w:spacing w:line="276" w:lineRule="auto"/>
        <w:jc w:val="both"/>
        <w:rPr>
          <w:rFonts w:ascii="Arial" w:eastAsia="Arial Unicode MS" w:hAnsi="Arial" w:cs="Arial"/>
          <w:sz w:val="26"/>
          <w:szCs w:val="26"/>
        </w:rPr>
      </w:pPr>
    </w:p>
    <w:p w14:paraId="245CE277" w14:textId="77777777" w:rsidR="00B40941" w:rsidRPr="00AB00FE" w:rsidRDefault="00B40941" w:rsidP="00BE498B">
      <w:pPr>
        <w:spacing w:line="276" w:lineRule="auto"/>
        <w:jc w:val="both"/>
        <w:rPr>
          <w:rFonts w:ascii="Arial" w:eastAsia="Arial Unicode MS" w:hAnsi="Arial" w:cs="Arial"/>
          <w:sz w:val="26"/>
          <w:szCs w:val="26"/>
        </w:rPr>
      </w:pPr>
    </w:p>
    <w:p w14:paraId="1A68A46F" w14:textId="77777777" w:rsidR="00B40941" w:rsidRPr="00AB00FE" w:rsidRDefault="00B40941" w:rsidP="00BE498B">
      <w:pPr>
        <w:spacing w:line="276" w:lineRule="auto"/>
        <w:jc w:val="both"/>
        <w:rPr>
          <w:rFonts w:ascii="Arial" w:eastAsia="Arial Unicode MS" w:hAnsi="Arial" w:cs="Arial"/>
          <w:sz w:val="26"/>
          <w:szCs w:val="26"/>
        </w:rPr>
      </w:pPr>
    </w:p>
    <w:p w14:paraId="3B78E874" w14:textId="77777777" w:rsidR="00B40941" w:rsidRPr="00AB00FE" w:rsidRDefault="00B40941" w:rsidP="00BE498B">
      <w:pPr>
        <w:spacing w:line="276" w:lineRule="auto"/>
        <w:jc w:val="both"/>
        <w:rPr>
          <w:rFonts w:ascii="Arial" w:eastAsia="Arial Unicode MS" w:hAnsi="Arial" w:cs="Arial"/>
          <w:sz w:val="26"/>
          <w:szCs w:val="26"/>
        </w:rPr>
      </w:pPr>
    </w:p>
    <w:p w14:paraId="287A7179" w14:textId="77777777" w:rsidR="00B40941" w:rsidRPr="00AB00FE" w:rsidRDefault="00B40941" w:rsidP="00BE498B">
      <w:pPr>
        <w:spacing w:line="276" w:lineRule="auto"/>
        <w:jc w:val="both"/>
        <w:rPr>
          <w:rFonts w:ascii="Arial" w:eastAsia="Arial Unicode MS" w:hAnsi="Arial" w:cs="Arial"/>
          <w:sz w:val="26"/>
          <w:szCs w:val="26"/>
        </w:rPr>
      </w:pPr>
    </w:p>
    <w:p w14:paraId="7C6005CC" w14:textId="77777777" w:rsidR="00B40941" w:rsidRPr="00AB00FE" w:rsidRDefault="00B40941" w:rsidP="00BE498B">
      <w:pPr>
        <w:spacing w:line="276" w:lineRule="auto"/>
        <w:ind w:left="720" w:hanging="720"/>
        <w:jc w:val="both"/>
        <w:rPr>
          <w:rFonts w:ascii="Arial" w:eastAsia="Arial Unicode MS" w:hAnsi="Arial" w:cs="Arial"/>
        </w:rPr>
      </w:pPr>
    </w:p>
    <w:p w14:paraId="0ACB50F5" w14:textId="77777777" w:rsidR="00B40941" w:rsidRPr="00AB00FE" w:rsidRDefault="00B40941" w:rsidP="00BE498B">
      <w:pPr>
        <w:spacing w:line="276" w:lineRule="auto"/>
        <w:jc w:val="both"/>
        <w:rPr>
          <w:rFonts w:ascii="Arial" w:eastAsia="Arial Unicode MS" w:hAnsi="Arial" w:cs="Arial"/>
        </w:rPr>
      </w:pPr>
    </w:p>
    <w:p w14:paraId="34ED8592" w14:textId="77777777" w:rsidR="00B40941" w:rsidRPr="00AB00FE" w:rsidRDefault="00B40941" w:rsidP="00BE498B">
      <w:pPr>
        <w:spacing w:line="276" w:lineRule="auto"/>
        <w:jc w:val="both"/>
        <w:rPr>
          <w:rFonts w:ascii="Arial" w:eastAsia="Arial Unicode MS" w:hAnsi="Arial" w:cs="Arial"/>
        </w:rPr>
      </w:pPr>
    </w:p>
    <w:p w14:paraId="1729FF38" w14:textId="77777777" w:rsidR="00B40941" w:rsidRPr="00AB00FE" w:rsidRDefault="00B40941" w:rsidP="00BE498B">
      <w:pPr>
        <w:spacing w:line="276" w:lineRule="auto"/>
        <w:jc w:val="both"/>
        <w:rPr>
          <w:rFonts w:ascii="Arial" w:eastAsia="Arial Unicode MS" w:hAnsi="Arial" w:cs="Arial"/>
        </w:rPr>
      </w:pPr>
    </w:p>
    <w:p w14:paraId="4130BE44" w14:textId="77777777" w:rsidR="00944242" w:rsidRPr="00AB00FE" w:rsidRDefault="00944242" w:rsidP="00BE498B">
      <w:pPr>
        <w:spacing w:line="276" w:lineRule="auto"/>
        <w:jc w:val="both"/>
        <w:rPr>
          <w:rFonts w:ascii="Arial" w:eastAsia="Arial Unicode MS" w:hAnsi="Arial" w:cs="Arial"/>
        </w:rPr>
      </w:pPr>
    </w:p>
    <w:p w14:paraId="06001604" w14:textId="77777777" w:rsidR="00B40941" w:rsidRPr="00AB00FE" w:rsidRDefault="00B40941" w:rsidP="00BE498B">
      <w:pPr>
        <w:spacing w:line="276" w:lineRule="auto"/>
        <w:jc w:val="both"/>
        <w:rPr>
          <w:rFonts w:ascii="Arial" w:eastAsia="Arial Unicode MS" w:hAnsi="Arial" w:cs="Arial"/>
        </w:rPr>
      </w:pPr>
    </w:p>
    <w:p w14:paraId="4C594CBA" w14:textId="77777777" w:rsidR="00B40941" w:rsidRPr="00AB00FE" w:rsidRDefault="00B40941" w:rsidP="00BE498B">
      <w:pPr>
        <w:spacing w:line="276" w:lineRule="auto"/>
        <w:jc w:val="both"/>
        <w:rPr>
          <w:rFonts w:ascii="Arial" w:eastAsia="Arial Unicode MS" w:hAnsi="Arial" w:cs="Arial"/>
        </w:rPr>
      </w:pPr>
    </w:p>
    <w:p w14:paraId="18E15B08" w14:textId="58B7DBE3" w:rsidR="00B40941" w:rsidRPr="00AB00FE" w:rsidRDefault="00505E0A" w:rsidP="00BE498B">
      <w:pPr>
        <w:spacing w:line="276" w:lineRule="auto"/>
        <w:jc w:val="both"/>
        <w:rPr>
          <w:rFonts w:ascii="Arial" w:eastAsia="Arial Unicode MS" w:hAnsi="Arial" w:cs="Arial"/>
          <w:sz w:val="28"/>
          <w:szCs w:val="28"/>
        </w:rPr>
      </w:pPr>
      <w:r>
        <w:rPr>
          <w:rFonts w:ascii="Arial" w:eastAsia="Arial Unicode MS" w:hAnsi="Arial" w:cs="Arial"/>
          <w:sz w:val="28"/>
          <w:szCs w:val="28"/>
          <w:lang w:val="fr-CA"/>
        </w:rPr>
        <w:t xml:space="preserve">Mesdames et Messieurs les </w:t>
      </w:r>
      <w:r w:rsidR="00910A55">
        <w:rPr>
          <w:rFonts w:ascii="Arial" w:eastAsia="Arial Unicode MS" w:hAnsi="Arial" w:cs="Arial"/>
          <w:sz w:val="28"/>
          <w:szCs w:val="28"/>
          <w:lang w:val="fr-CA"/>
        </w:rPr>
        <w:t xml:space="preserve">députés </w:t>
      </w:r>
      <w:r>
        <w:rPr>
          <w:rFonts w:ascii="Arial" w:eastAsia="Arial Unicode MS" w:hAnsi="Arial" w:cs="Arial"/>
          <w:sz w:val="28"/>
          <w:szCs w:val="28"/>
          <w:lang w:val="fr-CA"/>
        </w:rPr>
        <w:t>de l’Assemblée législative du Nunavut,</w:t>
      </w:r>
    </w:p>
    <w:p w14:paraId="186E051F" w14:textId="77777777" w:rsidR="00B40941" w:rsidRPr="00AB00FE" w:rsidRDefault="00B40941" w:rsidP="00BE498B">
      <w:pPr>
        <w:spacing w:line="276" w:lineRule="auto"/>
        <w:jc w:val="both"/>
        <w:rPr>
          <w:rFonts w:ascii="Arial" w:eastAsia="Arial Unicode MS" w:hAnsi="Arial" w:cs="Arial"/>
          <w:sz w:val="28"/>
          <w:szCs w:val="28"/>
        </w:rPr>
      </w:pPr>
    </w:p>
    <w:p w14:paraId="4FC7271D" w14:textId="1A5422FC" w:rsidR="00B40941" w:rsidRPr="00AB00FE" w:rsidRDefault="00B40941" w:rsidP="00BE498B">
      <w:pPr>
        <w:spacing w:line="276" w:lineRule="auto"/>
        <w:jc w:val="both"/>
        <w:rPr>
          <w:rFonts w:ascii="Arial" w:eastAsia="Arial Unicode MS" w:hAnsi="Arial" w:cs="Arial"/>
          <w:sz w:val="28"/>
          <w:szCs w:val="28"/>
        </w:rPr>
      </w:pPr>
      <w:r>
        <w:rPr>
          <w:rFonts w:ascii="Arial" w:eastAsia="Arial Unicode MS" w:hAnsi="Arial" w:cs="Arial"/>
          <w:sz w:val="28"/>
          <w:szCs w:val="28"/>
          <w:lang w:val="fr-CA"/>
        </w:rPr>
        <w:t>J’ai le plaisir de déposer le Rapport annuel du Conseil d’examen des taux des entreprises de service du Nunavut pour l’année se terminant le 31 décembre 2022.</w:t>
      </w:r>
    </w:p>
    <w:p w14:paraId="26346DDC" w14:textId="77777777" w:rsidR="00B40941" w:rsidRPr="00AB00FE" w:rsidRDefault="00B40941" w:rsidP="00BE498B">
      <w:pPr>
        <w:spacing w:line="276" w:lineRule="auto"/>
        <w:jc w:val="both"/>
        <w:rPr>
          <w:rFonts w:ascii="Arial" w:eastAsia="Arial Unicode MS" w:hAnsi="Arial" w:cs="Arial"/>
          <w:sz w:val="28"/>
          <w:szCs w:val="28"/>
        </w:rPr>
      </w:pPr>
    </w:p>
    <w:p w14:paraId="44676118" w14:textId="77777777" w:rsidR="00B40941" w:rsidRPr="00AB00FE" w:rsidRDefault="00B40941" w:rsidP="00BE498B">
      <w:pPr>
        <w:spacing w:line="276" w:lineRule="auto"/>
        <w:jc w:val="both"/>
        <w:rPr>
          <w:rFonts w:ascii="Arial" w:eastAsia="Arial Unicode MS" w:hAnsi="Arial" w:cs="Arial"/>
          <w:sz w:val="28"/>
          <w:szCs w:val="28"/>
        </w:rPr>
      </w:pPr>
    </w:p>
    <w:p w14:paraId="4D04BD32" w14:textId="77777777" w:rsidR="00B40941" w:rsidRPr="00AB00FE" w:rsidRDefault="00B40941" w:rsidP="00BE498B">
      <w:pPr>
        <w:spacing w:line="276" w:lineRule="auto"/>
        <w:jc w:val="both"/>
        <w:rPr>
          <w:rFonts w:ascii="Arial" w:eastAsia="Arial Unicode MS" w:hAnsi="Arial" w:cs="Arial"/>
          <w:sz w:val="28"/>
          <w:szCs w:val="28"/>
        </w:rPr>
      </w:pPr>
    </w:p>
    <w:p w14:paraId="49DAFB15" w14:textId="77777777" w:rsidR="00B40941" w:rsidRPr="00AB00FE" w:rsidRDefault="005E6C4A" w:rsidP="00BE498B">
      <w:pPr>
        <w:spacing w:line="276" w:lineRule="auto"/>
        <w:jc w:val="both"/>
        <w:rPr>
          <w:rFonts w:ascii="Arial" w:eastAsia="Arial Unicode MS" w:hAnsi="Arial" w:cs="Arial"/>
          <w:b/>
          <w:i/>
          <w:sz w:val="28"/>
          <w:szCs w:val="28"/>
        </w:rPr>
      </w:pPr>
      <w:r>
        <w:rPr>
          <w:rFonts w:ascii="Arial" w:eastAsia="Arial Unicode MS" w:hAnsi="Arial" w:cs="Arial"/>
          <w:sz w:val="28"/>
          <w:szCs w:val="28"/>
          <w:lang w:val="fr-CA"/>
        </w:rPr>
        <w:tab/>
      </w:r>
      <w:r>
        <w:rPr>
          <w:rFonts w:ascii="Arial" w:eastAsia="Arial Unicode MS" w:hAnsi="Arial" w:cs="Arial"/>
          <w:sz w:val="28"/>
          <w:szCs w:val="28"/>
          <w:lang w:val="fr-CA"/>
        </w:rPr>
        <w:tab/>
      </w:r>
      <w:r>
        <w:rPr>
          <w:rFonts w:ascii="Arial" w:eastAsia="Arial Unicode MS" w:hAnsi="Arial" w:cs="Arial"/>
          <w:sz w:val="28"/>
          <w:szCs w:val="28"/>
          <w:lang w:val="fr-CA"/>
        </w:rPr>
        <w:tab/>
      </w:r>
      <w:r>
        <w:rPr>
          <w:rFonts w:ascii="Arial" w:eastAsia="Arial Unicode MS" w:hAnsi="Arial" w:cs="Arial"/>
          <w:sz w:val="28"/>
          <w:szCs w:val="28"/>
          <w:lang w:val="fr-CA"/>
        </w:rPr>
        <w:tab/>
      </w:r>
      <w:r>
        <w:rPr>
          <w:rFonts w:ascii="Arial" w:eastAsia="Arial Unicode MS" w:hAnsi="Arial" w:cs="Arial"/>
          <w:sz w:val="28"/>
          <w:szCs w:val="28"/>
          <w:lang w:val="fr-CA"/>
        </w:rPr>
        <w:tab/>
      </w:r>
      <w:r>
        <w:rPr>
          <w:rFonts w:ascii="Arial" w:eastAsia="Arial Unicode MS" w:hAnsi="Arial" w:cs="Arial"/>
          <w:sz w:val="28"/>
          <w:szCs w:val="28"/>
          <w:lang w:val="fr-CA"/>
        </w:rPr>
        <w:tab/>
      </w:r>
      <w:r>
        <w:rPr>
          <w:rFonts w:ascii="Arial" w:eastAsia="Arial Unicode MS" w:hAnsi="Arial" w:cs="Arial"/>
          <w:sz w:val="28"/>
          <w:szCs w:val="28"/>
          <w:lang w:val="fr-CA"/>
        </w:rPr>
        <w:tab/>
      </w:r>
      <w:r>
        <w:rPr>
          <w:rFonts w:ascii="Arial" w:eastAsia="Arial Unicode MS" w:hAnsi="Arial" w:cs="Arial"/>
          <w:b/>
          <w:bCs/>
          <w:i/>
          <w:iCs/>
          <w:sz w:val="28"/>
          <w:szCs w:val="28"/>
          <w:lang w:val="fr-CA"/>
        </w:rPr>
        <w:t>Original signé par :</w:t>
      </w:r>
    </w:p>
    <w:p w14:paraId="70DF3F4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3F8A664C" w14:textId="77777777" w:rsidR="002D09C2" w:rsidRPr="00AB00FE" w:rsidRDefault="002D09C2" w:rsidP="00BE498B">
      <w:pPr>
        <w:tabs>
          <w:tab w:val="left" w:pos="5040"/>
        </w:tabs>
        <w:spacing w:line="276" w:lineRule="auto"/>
        <w:jc w:val="both"/>
        <w:rPr>
          <w:rFonts w:ascii="Arial" w:eastAsia="Arial Unicode MS" w:hAnsi="Arial" w:cs="Arial"/>
          <w:sz w:val="28"/>
          <w:szCs w:val="28"/>
        </w:rPr>
      </w:pPr>
    </w:p>
    <w:p w14:paraId="3B8348C0" w14:textId="77777777" w:rsidR="002D09C2" w:rsidRPr="00AB00FE" w:rsidRDefault="00E56E39" w:rsidP="00BE498B">
      <w:pPr>
        <w:tabs>
          <w:tab w:val="left" w:pos="5040"/>
        </w:tabs>
        <w:spacing w:line="276" w:lineRule="auto"/>
        <w:jc w:val="both"/>
        <w:rPr>
          <w:rFonts w:ascii="Arial" w:eastAsia="Arial Unicode MS" w:hAnsi="Arial" w:cs="Arial"/>
          <w:sz w:val="28"/>
          <w:szCs w:val="28"/>
        </w:rPr>
      </w:pPr>
      <w:r>
        <w:rPr>
          <w:rFonts w:ascii="Arial" w:eastAsia="Arial Unicode MS" w:hAnsi="Arial" w:cs="Arial"/>
          <w:sz w:val="28"/>
          <w:szCs w:val="28"/>
          <w:lang w:val="fr-CA"/>
        </w:rPr>
        <w:tab/>
        <w:t>__________________________</w:t>
      </w:r>
    </w:p>
    <w:p w14:paraId="368AD11B" w14:textId="2F1C2AE8" w:rsidR="00B40941" w:rsidRPr="00AB00FE" w:rsidRDefault="00B40941" w:rsidP="00BE498B">
      <w:pPr>
        <w:tabs>
          <w:tab w:val="left" w:pos="5040"/>
        </w:tabs>
        <w:spacing w:line="276" w:lineRule="auto"/>
        <w:jc w:val="both"/>
        <w:rPr>
          <w:rFonts w:ascii="Arial" w:eastAsia="Arial Unicode MS" w:hAnsi="Arial" w:cs="Arial"/>
          <w:sz w:val="28"/>
          <w:szCs w:val="28"/>
        </w:rPr>
      </w:pPr>
      <w:r>
        <w:rPr>
          <w:rFonts w:ascii="Arial" w:eastAsia="Arial Unicode MS" w:hAnsi="Arial" w:cs="Arial"/>
          <w:sz w:val="28"/>
          <w:szCs w:val="28"/>
          <w:lang w:val="fr-CA"/>
        </w:rPr>
        <w:tab/>
        <w:t>Ministre David Joanasie</w:t>
      </w:r>
    </w:p>
    <w:p w14:paraId="0684CD1B" w14:textId="207B81C3" w:rsidR="00CF0C70" w:rsidRPr="00AB00FE" w:rsidRDefault="00CF0C70" w:rsidP="006A1D32">
      <w:pPr>
        <w:spacing w:line="276" w:lineRule="auto"/>
        <w:ind w:left="5040"/>
        <w:jc w:val="both"/>
        <w:rPr>
          <w:rFonts w:ascii="Arial" w:eastAsia="Arial Unicode MS" w:hAnsi="Arial" w:cs="Arial"/>
          <w:sz w:val="28"/>
          <w:szCs w:val="28"/>
        </w:rPr>
      </w:pPr>
      <w:r>
        <w:rPr>
          <w:rFonts w:ascii="Arial" w:eastAsia="Arial Unicode MS" w:hAnsi="Arial" w:cs="Arial"/>
          <w:sz w:val="28"/>
          <w:szCs w:val="28"/>
          <w:lang w:val="fr-CA"/>
        </w:rPr>
        <w:t>Ministre responsable du Conseil d’examen des taux des entreprises de service</w:t>
      </w:r>
    </w:p>
    <w:p w14:paraId="2FBD458C" w14:textId="77777777" w:rsidR="00CF0C70" w:rsidRPr="00AB00FE" w:rsidRDefault="00CF0C70" w:rsidP="00BE498B">
      <w:pPr>
        <w:tabs>
          <w:tab w:val="left" w:pos="5040"/>
        </w:tabs>
        <w:spacing w:line="276" w:lineRule="auto"/>
        <w:jc w:val="both"/>
        <w:rPr>
          <w:rFonts w:ascii="Arial" w:eastAsia="Arial Unicode MS" w:hAnsi="Arial" w:cs="Arial"/>
          <w:sz w:val="28"/>
          <w:szCs w:val="28"/>
        </w:rPr>
      </w:pPr>
      <w:r>
        <w:rPr>
          <w:rFonts w:ascii="Arial" w:eastAsia="Arial Unicode MS" w:hAnsi="Arial" w:cs="Arial"/>
          <w:sz w:val="28"/>
          <w:szCs w:val="28"/>
          <w:lang w:val="fr-CA"/>
        </w:rPr>
        <w:tab/>
      </w:r>
    </w:p>
    <w:p w14:paraId="0B21E34E" w14:textId="77777777" w:rsidR="0039007B" w:rsidRPr="00AB00FE" w:rsidRDefault="0039007B" w:rsidP="00BE498B">
      <w:pPr>
        <w:jc w:val="both"/>
        <w:rPr>
          <w:rFonts w:ascii="Arial" w:eastAsia="Arial Unicode MS" w:hAnsi="Arial" w:cs="Arial"/>
        </w:rPr>
      </w:pPr>
      <w:r>
        <w:rPr>
          <w:rFonts w:ascii="Arial" w:eastAsia="Arial Unicode MS" w:hAnsi="Arial" w:cs="Arial"/>
          <w:lang w:val="fr-CA"/>
        </w:rPr>
        <w:br w:type="page"/>
      </w:r>
    </w:p>
    <w:p w14:paraId="2E19D9D7" w14:textId="77777777" w:rsidR="00B40941" w:rsidRPr="00AB00FE" w:rsidRDefault="00B40941" w:rsidP="00BE498B">
      <w:pPr>
        <w:tabs>
          <w:tab w:val="left" w:pos="5040"/>
        </w:tabs>
        <w:spacing w:line="276" w:lineRule="auto"/>
        <w:jc w:val="both"/>
        <w:rPr>
          <w:rFonts w:ascii="Arial" w:eastAsia="Arial Unicode MS" w:hAnsi="Arial" w:cs="Arial"/>
        </w:rPr>
      </w:pPr>
    </w:p>
    <w:p w14:paraId="30C6D0EB" w14:textId="77777777" w:rsidR="00B40941" w:rsidRPr="00AB00FE" w:rsidRDefault="00B40941" w:rsidP="00BE498B">
      <w:pPr>
        <w:tabs>
          <w:tab w:val="left" w:pos="5040"/>
        </w:tabs>
        <w:spacing w:line="276" w:lineRule="auto"/>
        <w:jc w:val="both"/>
        <w:rPr>
          <w:rFonts w:ascii="Arial" w:eastAsia="Arial Unicode MS" w:hAnsi="Arial" w:cs="Arial"/>
        </w:rPr>
      </w:pPr>
    </w:p>
    <w:p w14:paraId="5649899B" w14:textId="4F61AFE2" w:rsidR="00A31E25" w:rsidRPr="00AB00FE" w:rsidRDefault="003714BB" w:rsidP="00BE498B">
      <w:pPr>
        <w:tabs>
          <w:tab w:val="left" w:pos="5040"/>
        </w:tabs>
        <w:spacing w:line="276" w:lineRule="auto"/>
        <w:jc w:val="both"/>
        <w:rPr>
          <w:rFonts w:ascii="Arial" w:eastAsia="Arial Unicode MS" w:hAnsi="Arial" w:cs="Arial"/>
          <w:sz w:val="28"/>
          <w:szCs w:val="28"/>
        </w:rPr>
      </w:pPr>
      <w:r>
        <w:rPr>
          <w:rFonts w:ascii="Arial" w:eastAsia="Arial Unicode MS" w:hAnsi="Arial" w:cs="Arial"/>
          <w:sz w:val="28"/>
          <w:szCs w:val="28"/>
          <w:lang w:val="fr-CA"/>
        </w:rPr>
        <w:t>Le 12 avril 2023</w:t>
      </w:r>
    </w:p>
    <w:p w14:paraId="5E30EF06" w14:textId="77777777" w:rsidR="00A31E25" w:rsidRPr="00AB00FE" w:rsidRDefault="00A31E25" w:rsidP="00BE498B">
      <w:pPr>
        <w:tabs>
          <w:tab w:val="left" w:pos="5040"/>
        </w:tabs>
        <w:spacing w:line="276" w:lineRule="auto"/>
        <w:jc w:val="both"/>
        <w:rPr>
          <w:rFonts w:ascii="Arial" w:eastAsia="Arial Unicode MS" w:hAnsi="Arial" w:cs="Arial"/>
          <w:sz w:val="28"/>
          <w:szCs w:val="28"/>
        </w:rPr>
      </w:pPr>
    </w:p>
    <w:p w14:paraId="164EB2B7" w14:textId="77777777" w:rsidR="00A31E25" w:rsidRPr="00AB00FE" w:rsidRDefault="00A31E25" w:rsidP="00BE498B">
      <w:pPr>
        <w:tabs>
          <w:tab w:val="left" w:pos="5040"/>
        </w:tabs>
        <w:spacing w:line="276" w:lineRule="auto"/>
        <w:jc w:val="both"/>
        <w:rPr>
          <w:rFonts w:ascii="Arial" w:eastAsia="Arial Unicode MS" w:hAnsi="Arial" w:cs="Arial"/>
        </w:rPr>
      </w:pPr>
    </w:p>
    <w:p w14:paraId="642AE1C8" w14:textId="77777777" w:rsidR="00A31E25" w:rsidRPr="00AB00FE" w:rsidRDefault="00A31E25" w:rsidP="00BE498B">
      <w:pPr>
        <w:tabs>
          <w:tab w:val="left" w:pos="5040"/>
        </w:tabs>
        <w:spacing w:line="276" w:lineRule="auto"/>
        <w:jc w:val="both"/>
        <w:rPr>
          <w:rFonts w:ascii="Arial" w:eastAsia="Arial Unicode MS" w:hAnsi="Arial" w:cs="Arial"/>
        </w:rPr>
      </w:pPr>
    </w:p>
    <w:p w14:paraId="5C24A48C" w14:textId="34C444CD" w:rsidR="00B40941" w:rsidRPr="00AB00FE" w:rsidRDefault="00293406" w:rsidP="00BE498B">
      <w:pPr>
        <w:tabs>
          <w:tab w:val="left" w:pos="5040"/>
        </w:tabs>
        <w:spacing w:line="276" w:lineRule="auto"/>
        <w:jc w:val="both"/>
        <w:rPr>
          <w:rFonts w:ascii="Arial" w:eastAsia="Arial Unicode MS" w:hAnsi="Arial" w:cs="Arial"/>
          <w:sz w:val="28"/>
          <w:szCs w:val="28"/>
        </w:rPr>
      </w:pPr>
      <w:r>
        <w:rPr>
          <w:rFonts w:ascii="Arial" w:eastAsia="Arial Unicode MS" w:hAnsi="Arial" w:cs="Arial"/>
          <w:sz w:val="28"/>
          <w:szCs w:val="28"/>
          <w:lang w:val="fr-CA"/>
        </w:rPr>
        <w:t>L’honorable xxx</w:t>
      </w:r>
    </w:p>
    <w:p w14:paraId="428535DD" w14:textId="3D2DD7B4" w:rsidR="00B40941" w:rsidRPr="00AB00FE" w:rsidRDefault="00B40941" w:rsidP="00BE498B">
      <w:pPr>
        <w:tabs>
          <w:tab w:val="left" w:pos="5040"/>
        </w:tabs>
        <w:spacing w:line="276" w:lineRule="auto"/>
        <w:jc w:val="both"/>
        <w:rPr>
          <w:rFonts w:ascii="Arial" w:eastAsia="Arial Unicode MS" w:hAnsi="Arial" w:cs="Arial"/>
          <w:sz w:val="28"/>
          <w:szCs w:val="28"/>
        </w:rPr>
      </w:pPr>
      <w:r>
        <w:rPr>
          <w:rFonts w:ascii="Arial" w:eastAsia="Arial Unicode MS" w:hAnsi="Arial" w:cs="Arial"/>
          <w:sz w:val="28"/>
          <w:szCs w:val="28"/>
          <w:lang w:val="fr-CA"/>
        </w:rPr>
        <w:t xml:space="preserve">Ministre responsable du Conseil d’examen des taux des entreprises </w:t>
      </w:r>
      <w:r w:rsidR="00910A55">
        <w:rPr>
          <w:rFonts w:ascii="Arial" w:eastAsia="Arial Unicode MS" w:hAnsi="Arial" w:cs="Arial"/>
          <w:sz w:val="28"/>
          <w:szCs w:val="28"/>
          <w:lang w:val="fr-CA"/>
        </w:rPr>
        <w:t>de </w:t>
      </w:r>
      <w:r>
        <w:rPr>
          <w:rFonts w:ascii="Arial" w:eastAsia="Arial Unicode MS" w:hAnsi="Arial" w:cs="Arial"/>
          <w:sz w:val="28"/>
          <w:szCs w:val="28"/>
          <w:lang w:val="fr-CA"/>
        </w:rPr>
        <w:t>service du Nunavut</w:t>
      </w:r>
    </w:p>
    <w:p w14:paraId="0B704A1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6DD5F511" w14:textId="0B73F2C7" w:rsidR="00B40941" w:rsidRPr="00AB00FE" w:rsidRDefault="00B40941" w:rsidP="00BE498B">
      <w:pPr>
        <w:tabs>
          <w:tab w:val="left" w:pos="5040"/>
        </w:tabs>
        <w:spacing w:line="276" w:lineRule="auto"/>
        <w:jc w:val="both"/>
        <w:rPr>
          <w:rFonts w:ascii="Arial" w:eastAsia="Arial Unicode MS" w:hAnsi="Arial" w:cs="Arial"/>
          <w:sz w:val="28"/>
          <w:szCs w:val="28"/>
        </w:rPr>
      </w:pPr>
    </w:p>
    <w:p w14:paraId="4427824A"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3ABE272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2BEFD317"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2A81D261" w14:textId="66C85C47" w:rsidR="00B40941" w:rsidRPr="00AB00FE" w:rsidRDefault="00B40941" w:rsidP="00BE498B">
      <w:pPr>
        <w:tabs>
          <w:tab w:val="left" w:pos="5040"/>
        </w:tabs>
        <w:spacing w:line="276" w:lineRule="auto"/>
        <w:jc w:val="both"/>
        <w:rPr>
          <w:rFonts w:ascii="Arial" w:eastAsia="Arial Unicode MS" w:hAnsi="Arial" w:cs="Arial"/>
          <w:sz w:val="28"/>
          <w:szCs w:val="28"/>
        </w:rPr>
      </w:pPr>
      <w:r>
        <w:rPr>
          <w:rFonts w:ascii="Arial" w:eastAsia="Arial Unicode MS" w:hAnsi="Arial" w:cs="Arial"/>
          <w:sz w:val="28"/>
          <w:szCs w:val="28"/>
          <w:lang w:val="fr-CA"/>
        </w:rPr>
        <w:t xml:space="preserve">Monsieur le premier ministre, </w:t>
      </w:r>
    </w:p>
    <w:p w14:paraId="51708F7B"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663D3D05" w14:textId="22B8E145" w:rsidR="00B40941" w:rsidRPr="00AB00FE" w:rsidRDefault="002E2302" w:rsidP="00BE498B">
      <w:pPr>
        <w:tabs>
          <w:tab w:val="left" w:pos="5040"/>
        </w:tabs>
        <w:spacing w:line="276" w:lineRule="auto"/>
        <w:jc w:val="both"/>
        <w:rPr>
          <w:rFonts w:ascii="Arial" w:eastAsia="Arial Unicode MS" w:hAnsi="Arial" w:cs="Arial"/>
          <w:sz w:val="28"/>
          <w:szCs w:val="28"/>
        </w:rPr>
      </w:pPr>
      <w:r>
        <w:rPr>
          <w:rFonts w:ascii="Arial" w:eastAsia="Arial Unicode MS" w:hAnsi="Arial" w:cs="Arial"/>
          <w:sz w:val="28"/>
          <w:szCs w:val="28"/>
          <w:lang w:val="fr-CA"/>
        </w:rPr>
        <w:t xml:space="preserve">J’ai l’honneur de présenter le </w:t>
      </w:r>
      <w:r w:rsidR="00910A55">
        <w:rPr>
          <w:rFonts w:ascii="Arial" w:eastAsia="Arial Unicode MS" w:hAnsi="Arial" w:cs="Arial"/>
          <w:sz w:val="28"/>
          <w:szCs w:val="28"/>
          <w:lang w:val="fr-CA"/>
        </w:rPr>
        <w:t>R</w:t>
      </w:r>
      <w:r>
        <w:rPr>
          <w:rFonts w:ascii="Arial" w:eastAsia="Arial Unicode MS" w:hAnsi="Arial" w:cs="Arial"/>
          <w:sz w:val="28"/>
          <w:szCs w:val="28"/>
          <w:lang w:val="fr-CA"/>
        </w:rPr>
        <w:t>apport annuel du Conseil d’examen des taux des entreprises de service du Nunavut pour l’année se terminant le 31 décembre 2022.</w:t>
      </w:r>
    </w:p>
    <w:p w14:paraId="565AD2C4"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75547CE5" w14:textId="77777777" w:rsidR="007E1048" w:rsidRPr="00AB00FE" w:rsidRDefault="007E1048" w:rsidP="00BE498B">
      <w:pPr>
        <w:tabs>
          <w:tab w:val="left" w:pos="5040"/>
        </w:tabs>
        <w:spacing w:line="276" w:lineRule="auto"/>
        <w:jc w:val="both"/>
        <w:rPr>
          <w:rFonts w:ascii="Arial" w:eastAsia="Arial Unicode MS" w:hAnsi="Arial" w:cs="Arial"/>
          <w:sz w:val="28"/>
          <w:szCs w:val="28"/>
        </w:rPr>
      </w:pPr>
    </w:p>
    <w:p w14:paraId="45485946"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Pr>
          <w:rFonts w:ascii="Arial" w:eastAsia="Arial Unicode MS" w:hAnsi="Arial" w:cs="Arial"/>
          <w:sz w:val="28"/>
          <w:szCs w:val="28"/>
          <w:lang w:val="fr-CA"/>
        </w:rPr>
        <w:t>Le tout respectueusement soumis,</w:t>
      </w:r>
    </w:p>
    <w:p w14:paraId="0395A47B" w14:textId="77777777" w:rsidR="00100E31" w:rsidRPr="00AB00FE" w:rsidRDefault="00100E31" w:rsidP="00BE498B">
      <w:pPr>
        <w:tabs>
          <w:tab w:val="left" w:pos="5040"/>
        </w:tabs>
        <w:spacing w:line="276" w:lineRule="auto"/>
        <w:jc w:val="both"/>
        <w:rPr>
          <w:rFonts w:ascii="Arial" w:eastAsia="Arial Unicode MS" w:hAnsi="Arial" w:cs="Arial"/>
          <w:sz w:val="28"/>
          <w:szCs w:val="28"/>
        </w:rPr>
      </w:pPr>
    </w:p>
    <w:p w14:paraId="1ED3B231" w14:textId="71581CBF" w:rsidR="001B350B" w:rsidRPr="00AB00FE" w:rsidRDefault="003714BB" w:rsidP="00BE498B">
      <w:pPr>
        <w:tabs>
          <w:tab w:val="left" w:pos="5040"/>
        </w:tabs>
        <w:spacing w:line="276" w:lineRule="auto"/>
        <w:jc w:val="both"/>
        <w:rPr>
          <w:rFonts w:ascii="Arial" w:hAnsi="Arial" w:cs="Arial"/>
          <w:noProof/>
          <w:sz w:val="28"/>
          <w:szCs w:val="28"/>
        </w:rPr>
      </w:pPr>
      <w:r>
        <w:rPr>
          <w:rFonts w:ascii="Arial" w:hAnsi="Arial" w:cs="Arial"/>
          <w:noProof/>
          <w:sz w:val="28"/>
          <w:szCs w:val="28"/>
          <w:lang w:val="fr-CA"/>
        </w:rPr>
        <w:drawing>
          <wp:inline distT="0" distB="0" distL="0" distR="0" wp14:anchorId="5C53B81B" wp14:editId="0A1635BC">
            <wp:extent cx="3263900" cy="82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3900" cy="825500"/>
                    </a:xfrm>
                    <a:prstGeom prst="rect">
                      <a:avLst/>
                    </a:prstGeom>
                  </pic:spPr>
                </pic:pic>
              </a:graphicData>
            </a:graphic>
          </wp:inline>
        </w:drawing>
      </w:r>
    </w:p>
    <w:p w14:paraId="42C83E74" w14:textId="1BA0025C" w:rsidR="000E2A7C" w:rsidRPr="00AB00FE" w:rsidRDefault="000E2A7C" w:rsidP="00BE498B">
      <w:pPr>
        <w:tabs>
          <w:tab w:val="left" w:pos="5040"/>
        </w:tabs>
        <w:spacing w:line="276" w:lineRule="auto"/>
        <w:jc w:val="both"/>
        <w:rPr>
          <w:rFonts w:ascii="Arial" w:hAnsi="Arial" w:cs="Arial"/>
          <w:noProof/>
          <w:sz w:val="28"/>
          <w:szCs w:val="28"/>
        </w:rPr>
      </w:pPr>
    </w:p>
    <w:p w14:paraId="379E37A8" w14:textId="7161A3D3" w:rsidR="00944242" w:rsidRPr="00AB00FE" w:rsidRDefault="004664E4" w:rsidP="00BE498B">
      <w:pPr>
        <w:tabs>
          <w:tab w:val="left" w:pos="5040"/>
        </w:tabs>
        <w:spacing w:line="276" w:lineRule="auto"/>
        <w:jc w:val="both"/>
        <w:rPr>
          <w:rFonts w:ascii="Arial" w:eastAsia="Arial Unicode MS" w:hAnsi="Arial" w:cs="Arial"/>
          <w:sz w:val="28"/>
          <w:szCs w:val="28"/>
        </w:rPr>
      </w:pPr>
      <w:r>
        <w:rPr>
          <w:rFonts w:ascii="Arial" w:hAnsi="Arial" w:cs="Arial"/>
          <w:noProof/>
          <w:sz w:val="28"/>
          <w:szCs w:val="28"/>
          <w:lang w:val="fr-CA"/>
        </w:rPr>
        <w:t>Monica Ell-Kanayuk</w:t>
      </w:r>
    </w:p>
    <w:p w14:paraId="4BC9EE9D" w14:textId="29A6D57B" w:rsidR="00B40941" w:rsidRPr="00AB00FE" w:rsidRDefault="00B40941" w:rsidP="00BE498B">
      <w:pPr>
        <w:tabs>
          <w:tab w:val="left" w:pos="5040"/>
        </w:tabs>
        <w:spacing w:line="276" w:lineRule="auto"/>
        <w:jc w:val="both"/>
        <w:rPr>
          <w:rFonts w:ascii="Arial" w:eastAsia="Arial Unicode MS" w:hAnsi="Arial" w:cs="Arial"/>
          <w:sz w:val="28"/>
          <w:szCs w:val="28"/>
        </w:rPr>
      </w:pPr>
      <w:r>
        <w:rPr>
          <w:rFonts w:ascii="Arial" w:eastAsia="Arial Unicode MS" w:hAnsi="Arial" w:cs="Arial"/>
          <w:sz w:val="28"/>
          <w:szCs w:val="28"/>
          <w:lang w:val="fr-CA"/>
        </w:rPr>
        <w:t>Président</w:t>
      </w:r>
      <w:r w:rsidR="00910A55">
        <w:rPr>
          <w:rFonts w:ascii="Arial" w:eastAsia="Arial Unicode MS" w:hAnsi="Arial" w:cs="Arial"/>
          <w:sz w:val="28"/>
          <w:szCs w:val="28"/>
          <w:lang w:val="fr-CA"/>
        </w:rPr>
        <w:t>e</w:t>
      </w:r>
      <w:r>
        <w:rPr>
          <w:rFonts w:ascii="Arial" w:eastAsia="Arial Unicode MS" w:hAnsi="Arial" w:cs="Arial"/>
          <w:sz w:val="28"/>
          <w:szCs w:val="28"/>
          <w:lang w:val="fr-CA"/>
        </w:rPr>
        <w:t xml:space="preserve">, Conseil d’examen des taux des entreprises de service </w:t>
      </w:r>
      <w:r w:rsidR="00910A55">
        <w:rPr>
          <w:rFonts w:ascii="Arial" w:eastAsia="Arial Unicode MS" w:hAnsi="Arial" w:cs="Arial"/>
          <w:sz w:val="28"/>
          <w:szCs w:val="28"/>
          <w:lang w:val="fr-CA"/>
        </w:rPr>
        <w:t>du </w:t>
      </w:r>
      <w:r>
        <w:rPr>
          <w:rFonts w:ascii="Arial" w:eastAsia="Arial Unicode MS" w:hAnsi="Arial" w:cs="Arial"/>
          <w:sz w:val="28"/>
          <w:szCs w:val="28"/>
          <w:lang w:val="fr-CA"/>
        </w:rPr>
        <w:t>Nunavut</w:t>
      </w:r>
    </w:p>
    <w:p w14:paraId="1CD3DAEC" w14:textId="507220D7" w:rsidR="00704612" w:rsidRPr="00AB00FE" w:rsidRDefault="00704612" w:rsidP="00BE498B">
      <w:pPr>
        <w:tabs>
          <w:tab w:val="left" w:pos="5040"/>
        </w:tabs>
        <w:spacing w:line="276" w:lineRule="auto"/>
        <w:jc w:val="both"/>
        <w:rPr>
          <w:rFonts w:ascii="Arial" w:eastAsia="Arial Unicode MS" w:hAnsi="Arial" w:cs="Arial"/>
          <w:sz w:val="28"/>
          <w:szCs w:val="28"/>
        </w:rPr>
      </w:pPr>
    </w:p>
    <w:p w14:paraId="06825A11" w14:textId="77777777" w:rsidR="0039007B" w:rsidRPr="00AB00FE" w:rsidRDefault="0039007B" w:rsidP="00BE498B">
      <w:pPr>
        <w:jc w:val="both"/>
        <w:rPr>
          <w:rFonts w:ascii="Arial" w:eastAsia="Arial Unicode MS" w:hAnsi="Arial" w:cs="Arial"/>
        </w:rPr>
      </w:pPr>
    </w:p>
    <w:p w14:paraId="16A84980" w14:textId="77777777" w:rsidR="00931546" w:rsidRPr="00AB00FE" w:rsidRDefault="00931546" w:rsidP="00BE498B">
      <w:pPr>
        <w:tabs>
          <w:tab w:val="left" w:pos="360"/>
          <w:tab w:val="left" w:pos="4320"/>
        </w:tabs>
        <w:spacing w:line="276" w:lineRule="auto"/>
        <w:jc w:val="both"/>
        <w:rPr>
          <w:rFonts w:ascii="Arial" w:eastAsia="Arial Unicode MS" w:hAnsi="Arial" w:cs="Arial"/>
          <w:b/>
        </w:rPr>
      </w:pPr>
    </w:p>
    <w:p w14:paraId="6D1D3B41" w14:textId="368AB69A" w:rsidR="00CC756C" w:rsidRPr="00AB00FE" w:rsidRDefault="00CC756C" w:rsidP="00BE498B">
      <w:pPr>
        <w:tabs>
          <w:tab w:val="left" w:pos="360"/>
          <w:tab w:val="left" w:pos="4320"/>
        </w:tabs>
        <w:spacing w:line="276" w:lineRule="auto"/>
        <w:jc w:val="both"/>
        <w:rPr>
          <w:rFonts w:ascii="Arial" w:eastAsia="Arial Unicode MS" w:hAnsi="Arial" w:cs="Arial"/>
          <w:b/>
          <w:sz w:val="32"/>
          <w:szCs w:val="32"/>
        </w:rPr>
      </w:pPr>
    </w:p>
    <w:p w14:paraId="028BFC5A" w14:textId="77777777" w:rsidR="000E2A7C" w:rsidRPr="00AB00FE" w:rsidRDefault="000E2A7C" w:rsidP="00BE498B">
      <w:pPr>
        <w:tabs>
          <w:tab w:val="left" w:pos="360"/>
          <w:tab w:val="left" w:pos="4320"/>
        </w:tabs>
        <w:spacing w:line="276" w:lineRule="auto"/>
        <w:jc w:val="both"/>
        <w:rPr>
          <w:rFonts w:ascii="Arial" w:eastAsia="Arial Unicode MS" w:hAnsi="Arial" w:cs="Arial"/>
          <w:b/>
          <w:sz w:val="32"/>
          <w:szCs w:val="32"/>
        </w:rPr>
      </w:pPr>
    </w:p>
    <w:p w14:paraId="51187F54" w14:textId="0058991E" w:rsidR="00B4673A" w:rsidRPr="00AB00FE" w:rsidRDefault="00B4673A" w:rsidP="00BE498B">
      <w:pPr>
        <w:tabs>
          <w:tab w:val="left" w:pos="360"/>
          <w:tab w:val="left" w:pos="4320"/>
        </w:tabs>
        <w:spacing w:line="276" w:lineRule="auto"/>
        <w:jc w:val="both"/>
        <w:rPr>
          <w:rFonts w:ascii="Arial" w:eastAsia="Arial Unicode MS" w:hAnsi="Arial" w:cs="Arial"/>
          <w:b/>
          <w:sz w:val="32"/>
          <w:szCs w:val="32"/>
        </w:rPr>
      </w:pPr>
      <w:r>
        <w:rPr>
          <w:rFonts w:ascii="Arial" w:eastAsia="Arial Unicode MS" w:hAnsi="Arial" w:cs="Arial"/>
          <w:b/>
          <w:bCs/>
          <w:sz w:val="32"/>
          <w:szCs w:val="32"/>
          <w:lang w:val="fr-CA"/>
        </w:rPr>
        <w:t xml:space="preserve">Le Conseil d’examen des taux des entreprises de service </w:t>
      </w:r>
      <w:r w:rsidR="00D443C9">
        <w:rPr>
          <w:rFonts w:ascii="Arial" w:eastAsia="Arial Unicode MS" w:hAnsi="Arial" w:cs="Arial"/>
          <w:b/>
          <w:bCs/>
          <w:sz w:val="32"/>
          <w:szCs w:val="32"/>
          <w:lang w:val="fr-CA"/>
        </w:rPr>
        <w:t>du </w:t>
      </w:r>
      <w:r>
        <w:rPr>
          <w:rFonts w:ascii="Arial" w:eastAsia="Arial Unicode MS" w:hAnsi="Arial" w:cs="Arial"/>
          <w:b/>
          <w:bCs/>
          <w:sz w:val="32"/>
          <w:szCs w:val="32"/>
          <w:lang w:val="fr-CA"/>
        </w:rPr>
        <w:t>Nunavut</w:t>
      </w:r>
    </w:p>
    <w:p w14:paraId="33D98C76"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w14:paraId="3BEE67A1" w14:textId="77777777" w:rsidR="00E059D9" w:rsidRPr="00AB00FE" w:rsidRDefault="00E059D9" w:rsidP="00BE498B">
      <w:pPr>
        <w:tabs>
          <w:tab w:val="left" w:pos="360"/>
          <w:tab w:val="left" w:pos="4320"/>
        </w:tabs>
        <w:spacing w:line="276" w:lineRule="auto"/>
        <w:jc w:val="both"/>
        <w:rPr>
          <w:rFonts w:ascii="Arial" w:eastAsia="Arial Unicode MS" w:hAnsi="Arial" w:cs="Arial"/>
        </w:rPr>
      </w:pPr>
    </w:p>
    <w:p w14:paraId="440A6062" w14:textId="77777777" w:rsidR="00B4673A" w:rsidRPr="00AB00FE" w:rsidRDefault="00B4673A" w:rsidP="00BE498B">
      <w:pPr>
        <w:numPr>
          <w:ilvl w:val="0"/>
          <w:numId w:val="1"/>
        </w:numPr>
        <w:tabs>
          <w:tab w:val="left" w:pos="-3420"/>
        </w:tabs>
        <w:spacing w:line="276" w:lineRule="auto"/>
        <w:jc w:val="both"/>
        <w:rPr>
          <w:rFonts w:ascii="Arial" w:eastAsia="Arial Unicode MS" w:hAnsi="Arial" w:cs="Arial"/>
          <w:b/>
          <w:u w:val="single"/>
        </w:rPr>
      </w:pPr>
      <w:r>
        <w:rPr>
          <w:rFonts w:ascii="Arial" w:eastAsia="Arial Unicode MS" w:hAnsi="Arial" w:cs="Arial"/>
          <w:b/>
          <w:bCs/>
          <w:u w:val="single"/>
          <w:lang w:val="fr-CA"/>
        </w:rPr>
        <w:t>MANDAT</w:t>
      </w:r>
    </w:p>
    <w:p w14:paraId="5D2061B9"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w14:paraId="3E51D30B" w14:textId="61F6C7AC" w:rsidR="00B4673A" w:rsidRPr="00AB00FE" w:rsidRDefault="00B4673A" w:rsidP="00BE498B">
      <w:pPr>
        <w:tabs>
          <w:tab w:val="left" w:pos="0"/>
        </w:tabs>
        <w:spacing w:line="360" w:lineRule="auto"/>
        <w:jc w:val="both"/>
        <w:rPr>
          <w:rFonts w:ascii="Arial" w:eastAsia="Arial Unicode MS" w:hAnsi="Arial" w:cs="Arial"/>
        </w:rPr>
      </w:pPr>
      <w:r>
        <w:rPr>
          <w:rFonts w:ascii="Arial" w:eastAsia="Arial Unicode MS" w:hAnsi="Arial" w:cs="Arial"/>
          <w:lang w:val="fr-CA"/>
        </w:rPr>
        <w:t xml:space="preserve">La </w:t>
      </w:r>
      <w:r>
        <w:rPr>
          <w:rFonts w:ascii="Arial" w:eastAsia="Arial Unicode MS" w:hAnsi="Arial" w:cs="Arial"/>
          <w:i/>
          <w:iCs/>
          <w:lang w:val="fr-CA"/>
        </w:rPr>
        <w:t>Loi sur le Conseil d’examen des taux des entreprises de service</w:t>
      </w:r>
      <w:r>
        <w:rPr>
          <w:rFonts w:ascii="Arial" w:eastAsia="Arial Unicode MS" w:hAnsi="Arial" w:cs="Arial"/>
          <w:lang w:val="fr-CA"/>
        </w:rPr>
        <w:t>, adoptée au printemps 2001 et modifiée à l’été 2010, accorde au Conseil d’examen des taux des entreprises de service du Nunavut (CETES) le pouvoir de fournir aux ministres des avis concernant l’établissement des taux et des tarifs des entreprises de services désignées et concernant toute autre question soumise par le ministre responsable du CETES (</w:t>
      </w:r>
      <w:r w:rsidR="00D443C9">
        <w:rPr>
          <w:rFonts w:ascii="Arial" w:eastAsia="Arial Unicode MS" w:hAnsi="Arial" w:cs="Arial"/>
          <w:lang w:val="fr-CA"/>
        </w:rPr>
        <w:t>le </w:t>
      </w:r>
      <w:r>
        <w:rPr>
          <w:rFonts w:ascii="Arial" w:eastAsia="Arial Unicode MS" w:hAnsi="Arial" w:cs="Arial"/>
          <w:lang w:val="fr-CA"/>
        </w:rPr>
        <w:t>Conseil d’examen).</w:t>
      </w:r>
    </w:p>
    <w:p w14:paraId="641A28DB" w14:textId="77777777" w:rsidR="00B4673A" w:rsidRPr="00AB00FE" w:rsidRDefault="00B4673A" w:rsidP="00BE498B">
      <w:pPr>
        <w:tabs>
          <w:tab w:val="left" w:pos="360"/>
          <w:tab w:val="left" w:pos="4320"/>
        </w:tabs>
        <w:spacing w:line="360" w:lineRule="auto"/>
        <w:jc w:val="both"/>
        <w:rPr>
          <w:rFonts w:ascii="Arial" w:eastAsia="Arial Unicode MS" w:hAnsi="Arial" w:cs="Arial"/>
        </w:rPr>
      </w:pPr>
    </w:p>
    <w:p w14:paraId="5A9E4DEC" w14:textId="77777777" w:rsidR="00B4673A" w:rsidRPr="00AB00FE" w:rsidRDefault="00B4673A" w:rsidP="00BE498B">
      <w:pPr>
        <w:tabs>
          <w:tab w:val="left" w:pos="360"/>
          <w:tab w:val="left" w:pos="4320"/>
        </w:tabs>
        <w:spacing w:line="360" w:lineRule="auto"/>
        <w:jc w:val="both"/>
        <w:rPr>
          <w:rFonts w:ascii="Arial" w:eastAsia="Arial Unicode MS" w:hAnsi="Arial" w:cs="Arial"/>
        </w:rPr>
      </w:pPr>
      <w:r>
        <w:rPr>
          <w:rFonts w:ascii="Arial" w:eastAsia="Arial Unicode MS" w:hAnsi="Arial" w:cs="Arial"/>
          <w:lang w:val="fr-CA"/>
        </w:rPr>
        <w:t xml:space="preserve">Aux termes de la </w:t>
      </w:r>
      <w:r>
        <w:rPr>
          <w:rFonts w:ascii="Arial" w:eastAsia="Arial Unicode MS" w:hAnsi="Arial" w:cs="Arial"/>
          <w:i/>
          <w:iCs/>
          <w:lang w:val="fr-CA"/>
        </w:rPr>
        <w:t>Loi sur le CETES</w:t>
      </w:r>
      <w:r>
        <w:rPr>
          <w:rFonts w:ascii="Arial" w:eastAsia="Arial Unicode MS" w:hAnsi="Arial" w:cs="Arial"/>
          <w:lang w:val="fr-CA"/>
        </w:rPr>
        <w:t xml:space="preserve"> </w:t>
      </w:r>
      <w:r>
        <w:rPr>
          <w:rFonts w:ascii="Arial" w:eastAsia="Arial Unicode MS" w:hAnsi="Arial" w:cs="Arial"/>
          <w:i/>
          <w:iCs/>
          <w:lang w:val="fr-CA"/>
        </w:rPr>
        <w:t>(la Loi)</w:t>
      </w:r>
      <w:r>
        <w:rPr>
          <w:rFonts w:ascii="Arial" w:eastAsia="Arial Unicode MS" w:hAnsi="Arial" w:cs="Arial"/>
          <w:lang w:val="fr-CA"/>
        </w:rPr>
        <w:t xml:space="preserve">, on entend par « entreprise de service désignée » une </w:t>
      </w:r>
      <w:r>
        <w:rPr>
          <w:rFonts w:ascii="Arial" w:eastAsia="Arial Unicode MS" w:hAnsi="Arial" w:cs="Arial"/>
          <w:i/>
          <w:iCs/>
          <w:lang w:val="fr-CA"/>
        </w:rPr>
        <w:t>entreprise de service désignée par règlement ou un membre d’une catégorie d’entreprises de service désignée par règlement</w:t>
      </w:r>
      <w:r>
        <w:rPr>
          <w:rFonts w:ascii="Arial" w:eastAsia="Arial Unicode MS" w:hAnsi="Arial" w:cs="Arial"/>
          <w:lang w:val="fr-CA"/>
        </w:rPr>
        <w:t>.</w:t>
      </w:r>
    </w:p>
    <w:p w14:paraId="062033F3"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w14:paraId="1C75A342" w14:textId="77777777" w:rsidR="00B4673A" w:rsidRPr="00AB00FE" w:rsidRDefault="00B97B97" w:rsidP="00BE498B">
      <w:pPr>
        <w:tabs>
          <w:tab w:val="left" w:pos="360"/>
          <w:tab w:val="left" w:pos="4320"/>
        </w:tabs>
        <w:spacing w:line="276" w:lineRule="auto"/>
        <w:jc w:val="both"/>
        <w:rPr>
          <w:rFonts w:ascii="Arial" w:eastAsia="Arial Unicode MS" w:hAnsi="Arial" w:cs="Arial"/>
        </w:rPr>
      </w:pPr>
      <w:r>
        <w:rPr>
          <w:rFonts w:ascii="Arial" w:eastAsia="Arial Unicode MS" w:hAnsi="Arial" w:cs="Arial"/>
          <w:lang w:val="fr-CA"/>
        </w:rPr>
        <w:t>De plus, est définie comme une entreprise de service l’une ou l’autre des personnes ou entités suivantes fournissant des biens ou des services au public :</w:t>
      </w:r>
    </w:p>
    <w:p w14:paraId="6804D45F" w14:textId="77777777" w:rsidR="00E059D9" w:rsidRPr="00AB00FE" w:rsidRDefault="00E059D9" w:rsidP="00BE498B">
      <w:pPr>
        <w:tabs>
          <w:tab w:val="left" w:pos="360"/>
          <w:tab w:val="left" w:pos="4320"/>
        </w:tabs>
        <w:spacing w:line="276" w:lineRule="auto"/>
        <w:jc w:val="both"/>
        <w:rPr>
          <w:rFonts w:ascii="Arial" w:eastAsia="Arial Unicode MS" w:hAnsi="Arial" w:cs="Arial"/>
          <w:i/>
        </w:rPr>
      </w:pPr>
    </w:p>
    <w:p w14:paraId="1C541F99" w14:textId="77777777" w:rsidR="00B4673A" w:rsidRPr="00AB00FE" w:rsidRDefault="00B4673A" w:rsidP="00BE498B">
      <w:pPr>
        <w:numPr>
          <w:ilvl w:val="0"/>
          <w:numId w:val="2"/>
        </w:numPr>
        <w:tabs>
          <w:tab w:val="clear" w:pos="1800"/>
          <w:tab w:val="left" w:pos="360"/>
          <w:tab w:val="num" w:pos="1080"/>
        </w:tabs>
        <w:spacing w:line="276" w:lineRule="auto"/>
        <w:ind w:left="1080"/>
        <w:jc w:val="both"/>
        <w:rPr>
          <w:rFonts w:ascii="Arial" w:eastAsia="Arial Unicode MS" w:hAnsi="Arial" w:cs="Arial"/>
          <w:i/>
        </w:rPr>
      </w:pPr>
      <w:r>
        <w:rPr>
          <w:rFonts w:ascii="Arial" w:eastAsia="Arial Unicode MS" w:hAnsi="Arial" w:cs="Arial"/>
          <w:i/>
          <w:iCs/>
          <w:lang w:val="fr-CA"/>
        </w:rPr>
        <w:t>Une personne morale dont le gouvernement du Nunavut a la propriété ou le contrôle, et à laquelle la présente loi s’applique soit aux termes d’un texte de loi, soit aux termes d’un règlement pris en application de l’alinéa 20 (1) a);</w:t>
      </w:r>
    </w:p>
    <w:p w14:paraId="624CF750" w14:textId="77777777" w:rsidR="00E059D9" w:rsidRPr="00AB00FE" w:rsidRDefault="00E059D9" w:rsidP="00BE498B">
      <w:pPr>
        <w:tabs>
          <w:tab w:val="left" w:pos="360"/>
        </w:tabs>
        <w:spacing w:line="276" w:lineRule="auto"/>
        <w:jc w:val="both"/>
        <w:rPr>
          <w:rFonts w:ascii="Arial" w:eastAsia="Arial Unicode MS" w:hAnsi="Arial" w:cs="Arial"/>
          <w:i/>
        </w:rPr>
      </w:pPr>
    </w:p>
    <w:p w14:paraId="3DB8A3E3" w14:textId="77777777" w:rsidR="00B4673A" w:rsidRPr="00AB00FE" w:rsidRDefault="00B4673A" w:rsidP="00BE498B">
      <w:pPr>
        <w:numPr>
          <w:ilvl w:val="0"/>
          <w:numId w:val="2"/>
        </w:numPr>
        <w:tabs>
          <w:tab w:val="clear" w:pos="1800"/>
          <w:tab w:val="num" w:pos="1080"/>
        </w:tabs>
        <w:spacing w:line="276" w:lineRule="auto"/>
        <w:ind w:left="1080"/>
        <w:jc w:val="both"/>
        <w:rPr>
          <w:rFonts w:ascii="Arial" w:eastAsia="Arial Unicode MS" w:hAnsi="Arial" w:cs="Arial"/>
          <w:i/>
        </w:rPr>
      </w:pPr>
      <w:r>
        <w:rPr>
          <w:rFonts w:ascii="Arial" w:eastAsia="Arial Unicode MS" w:hAnsi="Arial" w:cs="Arial"/>
          <w:i/>
          <w:iCs/>
          <w:lang w:val="fr-CA"/>
        </w:rPr>
        <w:t>Un ministère ou une division administrative du gouvernement du Nunavut, auxquels la présente loi s’applique soit aux termes d’un texte de loi, soit aux termes d’un règlement pris en application de l’alinéa 20 (1) a);</w:t>
      </w:r>
    </w:p>
    <w:p w14:paraId="6F73FD8D" w14:textId="77777777" w:rsidR="00E059D9" w:rsidRPr="00AB00FE" w:rsidRDefault="00E059D9" w:rsidP="00BE498B">
      <w:pPr>
        <w:spacing w:line="276" w:lineRule="auto"/>
        <w:ind w:left="720"/>
        <w:jc w:val="both"/>
        <w:rPr>
          <w:rFonts w:ascii="Arial" w:eastAsia="Arial Unicode MS" w:hAnsi="Arial" w:cs="Arial"/>
          <w:i/>
        </w:rPr>
      </w:pPr>
    </w:p>
    <w:p w14:paraId="4FD2EC01" w14:textId="77777777" w:rsidR="00B4673A" w:rsidRPr="00AB00FE" w:rsidRDefault="00B4673A" w:rsidP="00BE498B">
      <w:pPr>
        <w:numPr>
          <w:ilvl w:val="0"/>
          <w:numId w:val="2"/>
        </w:numPr>
        <w:tabs>
          <w:tab w:val="clear" w:pos="1800"/>
          <w:tab w:val="num" w:pos="1080"/>
        </w:tabs>
        <w:spacing w:line="276" w:lineRule="auto"/>
        <w:ind w:left="1080"/>
        <w:jc w:val="both"/>
        <w:rPr>
          <w:rFonts w:ascii="Arial" w:eastAsia="Arial Unicode MS" w:hAnsi="Arial" w:cs="Arial"/>
          <w:i/>
        </w:rPr>
      </w:pPr>
      <w:r>
        <w:rPr>
          <w:rFonts w:ascii="Arial" w:eastAsia="Arial Unicode MS" w:hAnsi="Arial" w:cs="Arial"/>
          <w:i/>
          <w:iCs/>
          <w:lang w:val="fr-CA"/>
        </w:rPr>
        <w:lastRenderedPageBreak/>
        <w:t>Une personne ou une organisation non mentionnées à l’alinéa a) ou b) et auxquelles la présente loi s’applique soit aux termes d’un texte de loi, soit aux termes d’un règlement pris en application de l’alinéa 20 (1) a).</w:t>
      </w:r>
    </w:p>
    <w:p w14:paraId="69B4BDD9" w14:textId="77777777" w:rsidR="00B4673A" w:rsidRPr="00AB00FE" w:rsidRDefault="00B4673A" w:rsidP="00BE498B">
      <w:pPr>
        <w:spacing w:line="276" w:lineRule="auto"/>
        <w:jc w:val="both"/>
        <w:rPr>
          <w:rFonts w:ascii="Arial" w:eastAsia="Arial Unicode MS" w:hAnsi="Arial" w:cs="Arial"/>
        </w:rPr>
      </w:pPr>
    </w:p>
    <w:p w14:paraId="55E425B7" w14:textId="05F45244" w:rsidR="00B4673A" w:rsidRPr="00AB00FE" w:rsidRDefault="00F6646E" w:rsidP="00BE498B">
      <w:pPr>
        <w:spacing w:line="276" w:lineRule="auto"/>
        <w:jc w:val="both"/>
        <w:rPr>
          <w:rFonts w:ascii="Arial" w:eastAsia="Arial Unicode MS" w:hAnsi="Arial" w:cs="Arial"/>
          <w:i/>
        </w:rPr>
      </w:pPr>
      <w:r>
        <w:rPr>
          <w:rFonts w:ascii="Arial" w:eastAsia="Arial Unicode MS" w:hAnsi="Arial" w:cs="Arial"/>
          <w:lang w:val="fr-CA"/>
        </w:rPr>
        <w:t xml:space="preserve">La Société d’énergie Qulliq et, conséquemment, la Société d’énergie du Nunavut, à titre d’entreprises de services publics désignées, sont assujetties au CETES selon les dispositions de la </w:t>
      </w:r>
      <w:r>
        <w:rPr>
          <w:rFonts w:ascii="Arial" w:eastAsia="Arial Unicode MS" w:hAnsi="Arial" w:cs="Arial"/>
          <w:i/>
          <w:iCs/>
          <w:lang w:val="fr-CA"/>
        </w:rPr>
        <w:t>Loi sur le Conseil d’examen des taux des entreprises de service</w:t>
      </w:r>
      <w:r>
        <w:rPr>
          <w:rFonts w:ascii="Arial" w:eastAsia="Arial Unicode MS" w:hAnsi="Arial" w:cs="Arial"/>
          <w:lang w:val="fr-CA"/>
        </w:rPr>
        <w:t>.</w:t>
      </w:r>
    </w:p>
    <w:p w14:paraId="2C87CF4C" w14:textId="60B6A9D8" w:rsidR="00B4673A" w:rsidRPr="00AB00FE" w:rsidRDefault="00B4673A" w:rsidP="00BE498B">
      <w:pPr>
        <w:spacing w:line="276" w:lineRule="auto"/>
        <w:jc w:val="both"/>
        <w:rPr>
          <w:rFonts w:ascii="Arial" w:eastAsia="Arial Unicode MS" w:hAnsi="Arial" w:cs="Arial"/>
        </w:rPr>
      </w:pPr>
    </w:p>
    <w:p w14:paraId="0B6B6A33" w14:textId="77777777" w:rsidR="00CC756C" w:rsidRPr="00AB00FE" w:rsidRDefault="00CC756C" w:rsidP="00BE498B">
      <w:pPr>
        <w:spacing w:line="276" w:lineRule="auto"/>
        <w:jc w:val="both"/>
        <w:rPr>
          <w:rFonts w:ascii="Arial" w:eastAsia="Arial Unicode MS" w:hAnsi="Arial" w:cs="Arial"/>
        </w:rPr>
      </w:pPr>
    </w:p>
    <w:p w14:paraId="4C062129" w14:textId="77777777" w:rsidR="00B4673A" w:rsidRPr="00AB00FE" w:rsidRDefault="00B4673A" w:rsidP="00BE498B">
      <w:pPr>
        <w:numPr>
          <w:ilvl w:val="0"/>
          <w:numId w:val="1"/>
        </w:numPr>
        <w:spacing w:line="276" w:lineRule="auto"/>
        <w:jc w:val="both"/>
        <w:rPr>
          <w:rFonts w:ascii="Arial" w:eastAsia="Arial Unicode MS" w:hAnsi="Arial" w:cs="Arial"/>
          <w:b/>
          <w:u w:val="single"/>
        </w:rPr>
      </w:pPr>
      <w:r>
        <w:rPr>
          <w:rFonts w:ascii="Arial" w:eastAsia="Arial Unicode MS" w:hAnsi="Arial" w:cs="Arial"/>
          <w:b/>
          <w:bCs/>
          <w:u w:val="single"/>
          <w:lang w:val="fr-CA"/>
        </w:rPr>
        <w:t>BUTS</w:t>
      </w:r>
    </w:p>
    <w:p w14:paraId="22330C98" w14:textId="77777777" w:rsidR="00B4673A" w:rsidRPr="00AB00FE" w:rsidRDefault="00B4673A" w:rsidP="00BE498B">
      <w:pPr>
        <w:spacing w:line="276" w:lineRule="auto"/>
        <w:jc w:val="both"/>
        <w:rPr>
          <w:rFonts w:ascii="Arial" w:eastAsia="Arial Unicode MS" w:hAnsi="Arial" w:cs="Arial"/>
          <w:u w:val="single"/>
        </w:rPr>
      </w:pPr>
    </w:p>
    <w:p w14:paraId="1B76EFDF" w14:textId="77777777" w:rsidR="00B4673A" w:rsidRPr="00AB00FE" w:rsidRDefault="00B4673A" w:rsidP="00BE498B">
      <w:pPr>
        <w:spacing w:line="276" w:lineRule="auto"/>
        <w:jc w:val="both"/>
        <w:rPr>
          <w:rFonts w:ascii="Arial" w:eastAsia="Arial Unicode MS" w:hAnsi="Arial" w:cs="Arial"/>
        </w:rPr>
      </w:pPr>
      <w:r>
        <w:rPr>
          <w:rFonts w:ascii="Arial" w:eastAsia="Arial Unicode MS" w:hAnsi="Arial" w:cs="Arial"/>
          <w:lang w:val="fr-CA"/>
        </w:rPr>
        <w:t xml:space="preserve">Les buts du Conseil d’examen sont ainsi énoncés à l’article 7 de la </w:t>
      </w:r>
      <w:r w:rsidRPr="00B61361">
        <w:rPr>
          <w:rFonts w:ascii="Arial" w:eastAsia="Arial Unicode MS" w:hAnsi="Arial" w:cs="Arial"/>
          <w:i/>
          <w:iCs/>
          <w:lang w:val="fr-CA"/>
        </w:rPr>
        <w:t>Loi sur le CETES</w:t>
      </w:r>
      <w:r>
        <w:rPr>
          <w:rFonts w:ascii="Arial" w:eastAsia="Arial Unicode MS" w:hAnsi="Arial" w:cs="Arial"/>
          <w:lang w:val="fr-CA"/>
        </w:rPr>
        <w:t> :</w:t>
      </w:r>
    </w:p>
    <w:p w14:paraId="3CDD10E2" w14:textId="77777777" w:rsidR="00B4673A" w:rsidRPr="00AB00FE" w:rsidRDefault="00B4673A" w:rsidP="00BE498B">
      <w:pPr>
        <w:spacing w:line="276" w:lineRule="auto"/>
        <w:jc w:val="both"/>
        <w:rPr>
          <w:rFonts w:ascii="Arial" w:eastAsia="Arial Unicode MS" w:hAnsi="Arial" w:cs="Arial"/>
        </w:rPr>
      </w:pPr>
    </w:p>
    <w:p w14:paraId="07DD83E6" w14:textId="77777777" w:rsidR="00B4673A" w:rsidRPr="00AB00FE" w:rsidRDefault="00B4673A" w:rsidP="00BE498B">
      <w:pPr>
        <w:spacing w:line="276" w:lineRule="auto"/>
        <w:ind w:left="900" w:hanging="540"/>
        <w:jc w:val="both"/>
        <w:rPr>
          <w:rFonts w:ascii="Arial" w:eastAsia="Arial Unicode MS" w:hAnsi="Arial" w:cs="Arial"/>
          <w:i/>
        </w:rPr>
      </w:pPr>
      <w:r>
        <w:rPr>
          <w:rFonts w:ascii="Arial" w:eastAsia="Arial Unicode MS" w:hAnsi="Arial" w:cs="Arial"/>
          <w:i/>
          <w:iCs/>
          <w:lang w:val="fr-CA"/>
        </w:rPr>
        <w:t>Les buts du Conseil d’examen sont les suivants :</w:t>
      </w:r>
    </w:p>
    <w:p w14:paraId="5819C134"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w14:paraId="6F15E000" w14:textId="5356FF08" w:rsidR="00B4673A" w:rsidRPr="00AB00FE" w:rsidRDefault="00B4673A" w:rsidP="00BE498B">
      <w:pPr>
        <w:tabs>
          <w:tab w:val="left" w:pos="1080"/>
        </w:tabs>
        <w:spacing w:line="276" w:lineRule="auto"/>
        <w:ind w:left="1080" w:hanging="360"/>
        <w:jc w:val="both"/>
        <w:rPr>
          <w:rFonts w:ascii="Arial" w:eastAsia="Arial Unicode MS" w:hAnsi="Arial" w:cs="Arial"/>
          <w:i/>
        </w:rPr>
      </w:pPr>
      <w:r>
        <w:rPr>
          <w:rFonts w:ascii="Arial" w:eastAsia="Arial Unicode MS" w:hAnsi="Arial" w:cs="Arial"/>
          <w:i/>
          <w:iCs/>
          <w:lang w:val="fr-CA"/>
        </w:rPr>
        <w:t>a)</w:t>
      </w:r>
      <w:r>
        <w:rPr>
          <w:rFonts w:ascii="Arial" w:eastAsia="Arial Unicode MS" w:hAnsi="Arial" w:cs="Arial"/>
          <w:lang w:val="fr-CA"/>
        </w:rPr>
        <w:tab/>
      </w:r>
      <w:r>
        <w:rPr>
          <w:rFonts w:ascii="Arial" w:eastAsia="Arial Unicode MS" w:hAnsi="Arial" w:cs="Arial"/>
          <w:i/>
          <w:iCs/>
          <w:lang w:val="fr-CA"/>
        </w:rPr>
        <w:t>Fournir au ministre responsable d’une entreprise de service désignée des avis concernant l’établissement des tarifs et des taux conformément aux articles </w:t>
      </w:r>
      <w:r w:rsidR="00D443C9">
        <w:rPr>
          <w:rFonts w:ascii="Arial" w:eastAsia="Arial Unicode MS" w:hAnsi="Arial" w:cs="Arial"/>
          <w:i/>
          <w:iCs/>
          <w:lang w:val="fr-CA"/>
        </w:rPr>
        <w:t>11 </w:t>
      </w:r>
      <w:r>
        <w:rPr>
          <w:rFonts w:ascii="Arial" w:eastAsia="Arial Unicode MS" w:hAnsi="Arial" w:cs="Arial"/>
          <w:i/>
          <w:iCs/>
          <w:lang w:val="fr-CA"/>
        </w:rPr>
        <w:t>à 18;</w:t>
      </w:r>
    </w:p>
    <w:p w14:paraId="353F405C" w14:textId="77777777" w:rsidR="005E6C4A" w:rsidRPr="00AB00FE" w:rsidRDefault="005E6C4A" w:rsidP="00BE498B">
      <w:pPr>
        <w:tabs>
          <w:tab w:val="left" w:pos="1080"/>
        </w:tabs>
        <w:spacing w:line="276" w:lineRule="auto"/>
        <w:ind w:left="1080" w:hanging="360"/>
        <w:jc w:val="both"/>
        <w:rPr>
          <w:rFonts w:ascii="Arial" w:eastAsia="Arial Unicode MS" w:hAnsi="Arial" w:cs="Arial"/>
          <w:i/>
        </w:rPr>
      </w:pPr>
    </w:p>
    <w:p w14:paraId="5694D3AD"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Pr>
          <w:rFonts w:ascii="Arial" w:eastAsia="Arial Unicode MS" w:hAnsi="Arial" w:cs="Arial"/>
          <w:i/>
          <w:iCs/>
          <w:lang w:val="fr-CA"/>
        </w:rPr>
        <w:t>b)</w:t>
      </w:r>
      <w:r>
        <w:rPr>
          <w:rFonts w:ascii="Arial" w:eastAsia="Arial Unicode MS" w:hAnsi="Arial" w:cs="Arial"/>
          <w:lang w:val="fr-CA"/>
        </w:rPr>
        <w:tab/>
      </w:r>
      <w:r>
        <w:rPr>
          <w:rFonts w:ascii="Arial" w:eastAsia="Arial Unicode MS" w:hAnsi="Arial" w:cs="Arial"/>
          <w:i/>
          <w:iCs/>
          <w:lang w:val="fr-CA"/>
        </w:rPr>
        <w:t>Fournir au ministre responsable d’une entreprise de service autre qu’une entreprise de service désignée des avis sur toute question relative aux tarifs, aux taux et aux structures tarifaires que le ministre responsable lui soumet;</w:t>
      </w:r>
    </w:p>
    <w:p w14:paraId="26896DEA" w14:textId="77777777" w:rsidR="00CF0C70" w:rsidRPr="00AB00FE" w:rsidRDefault="00CF0C70" w:rsidP="00BE498B">
      <w:pPr>
        <w:tabs>
          <w:tab w:val="left" w:pos="1080"/>
        </w:tabs>
        <w:spacing w:line="276" w:lineRule="auto"/>
        <w:ind w:left="1080" w:hanging="360"/>
        <w:jc w:val="both"/>
        <w:rPr>
          <w:rFonts w:ascii="Arial" w:eastAsia="Arial Unicode MS" w:hAnsi="Arial" w:cs="Arial"/>
          <w:i/>
        </w:rPr>
      </w:pPr>
    </w:p>
    <w:p w14:paraId="014A6A3A"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Pr>
          <w:rFonts w:ascii="Arial" w:eastAsia="Arial Unicode MS" w:hAnsi="Arial" w:cs="Arial"/>
          <w:i/>
          <w:iCs/>
          <w:lang w:val="fr-CA"/>
        </w:rPr>
        <w:t>c)</w:t>
      </w:r>
      <w:r>
        <w:rPr>
          <w:rFonts w:ascii="Arial" w:eastAsia="Arial Unicode MS" w:hAnsi="Arial" w:cs="Arial"/>
          <w:lang w:val="fr-CA"/>
        </w:rPr>
        <w:tab/>
      </w:r>
      <w:r>
        <w:rPr>
          <w:rFonts w:ascii="Arial" w:eastAsia="Arial Unicode MS" w:hAnsi="Arial" w:cs="Arial"/>
          <w:i/>
          <w:iCs/>
          <w:lang w:val="fr-CA"/>
        </w:rPr>
        <w:t>Fournir au ministre responsable d’une entreprise de service des avis sur toute question relative à l’entreprise de service que le ministre responsable lui soumet sur l’avis du Conseil exécutif;</w:t>
      </w:r>
    </w:p>
    <w:p w14:paraId="1ED9D9BC"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w14:paraId="2682D0A6"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Pr>
          <w:rFonts w:ascii="Arial" w:eastAsia="Arial Unicode MS" w:hAnsi="Arial" w:cs="Arial"/>
          <w:i/>
          <w:iCs/>
          <w:lang w:val="fr-CA"/>
        </w:rPr>
        <w:t>d)</w:t>
      </w:r>
      <w:r>
        <w:rPr>
          <w:rFonts w:ascii="Arial" w:eastAsia="Arial Unicode MS" w:hAnsi="Arial" w:cs="Arial"/>
          <w:lang w:val="fr-CA"/>
        </w:rPr>
        <w:tab/>
      </w:r>
      <w:r>
        <w:rPr>
          <w:rFonts w:ascii="Arial" w:eastAsia="Arial Unicode MS" w:hAnsi="Arial" w:cs="Arial"/>
          <w:i/>
          <w:iCs/>
          <w:lang w:val="fr-CA"/>
        </w:rPr>
        <w:t>Fournir à tout ministre des avis sur toute question relative au prix de la fourniture de biens et de services que le ministre lui soumet sur l’avis du Conseil exécutif;</w:t>
      </w:r>
    </w:p>
    <w:p w14:paraId="038B3CFF"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w14:paraId="0FAFC5D0" w14:textId="77777777" w:rsidR="00AF55F3" w:rsidRPr="00AB00FE" w:rsidRDefault="00B4673A" w:rsidP="00BE498B">
      <w:pPr>
        <w:tabs>
          <w:tab w:val="left" w:pos="1080"/>
        </w:tabs>
        <w:spacing w:line="276" w:lineRule="auto"/>
        <w:ind w:left="1080" w:hanging="360"/>
        <w:jc w:val="both"/>
        <w:rPr>
          <w:rFonts w:ascii="Arial" w:eastAsia="Arial Unicode MS" w:hAnsi="Arial" w:cs="Arial"/>
          <w:i/>
        </w:rPr>
      </w:pPr>
      <w:r>
        <w:rPr>
          <w:rFonts w:ascii="Arial" w:eastAsia="Arial Unicode MS" w:hAnsi="Arial" w:cs="Arial"/>
          <w:i/>
          <w:iCs/>
          <w:lang w:val="fr-CA"/>
        </w:rPr>
        <w:t>e)</w:t>
      </w:r>
      <w:r>
        <w:rPr>
          <w:rFonts w:ascii="Arial" w:eastAsia="Arial Unicode MS" w:hAnsi="Arial" w:cs="Arial"/>
          <w:lang w:val="fr-CA"/>
        </w:rPr>
        <w:tab/>
      </w:r>
      <w:r>
        <w:rPr>
          <w:rFonts w:ascii="Arial" w:eastAsia="Arial Unicode MS" w:hAnsi="Arial" w:cs="Arial"/>
          <w:i/>
          <w:iCs/>
          <w:lang w:val="fr-CA"/>
        </w:rPr>
        <w:t>Fournir au ministre responsable de la Société d’énergie Qulliq des avis concernant des demandes d’autorisation relatives à des projets d’immobilisations majeurs visés à l’article 18.1 de la Loi sur la Société d’énergie Qulliq.</w:t>
      </w:r>
    </w:p>
    <w:p w14:paraId="0F809ABE" w14:textId="1E4DEBE9" w:rsidR="009E3C80" w:rsidRPr="00AB00FE" w:rsidRDefault="009E3C80">
      <w:pPr>
        <w:rPr>
          <w:rFonts w:ascii="Arial" w:eastAsia="Arial Unicode MS" w:hAnsi="Arial" w:cs="Arial"/>
          <w:iCs/>
        </w:rPr>
      </w:pPr>
      <w:r>
        <w:rPr>
          <w:rFonts w:ascii="Arial" w:eastAsia="Arial Unicode MS" w:hAnsi="Arial" w:cs="Arial"/>
          <w:lang w:val="fr-CA"/>
        </w:rPr>
        <w:br w:type="page"/>
      </w:r>
    </w:p>
    <w:p w14:paraId="2E60127A" w14:textId="77777777" w:rsidR="00E059D9" w:rsidRPr="00AB00FE" w:rsidRDefault="00E059D9" w:rsidP="00957BB7">
      <w:pPr>
        <w:tabs>
          <w:tab w:val="left" w:pos="1080"/>
        </w:tabs>
        <w:spacing w:line="276" w:lineRule="auto"/>
        <w:jc w:val="both"/>
        <w:rPr>
          <w:rFonts w:ascii="Arial" w:eastAsia="Arial Unicode MS" w:hAnsi="Arial" w:cs="Arial"/>
          <w:iCs/>
        </w:rPr>
      </w:pPr>
    </w:p>
    <w:p w14:paraId="53BD14AF" w14:textId="79B5EA18" w:rsidR="00B4673A" w:rsidRPr="00AB00FE" w:rsidRDefault="00D259CF" w:rsidP="00BE498B">
      <w:pPr>
        <w:numPr>
          <w:ilvl w:val="0"/>
          <w:numId w:val="1"/>
        </w:numPr>
        <w:spacing w:line="276" w:lineRule="auto"/>
        <w:ind w:left="0" w:firstLine="0"/>
        <w:jc w:val="both"/>
        <w:rPr>
          <w:rFonts w:ascii="Arial" w:eastAsia="Arial Unicode MS" w:hAnsi="Arial" w:cs="Arial"/>
          <w:b/>
        </w:rPr>
      </w:pPr>
      <w:r>
        <w:rPr>
          <w:rFonts w:ascii="Arial" w:eastAsia="Arial Unicode MS" w:hAnsi="Arial" w:cs="Arial"/>
          <w:b/>
          <w:bCs/>
          <w:u w:val="single"/>
          <w:lang w:val="fr-CA"/>
        </w:rPr>
        <w:t>ORGANISME</w:t>
      </w:r>
    </w:p>
    <w:p w14:paraId="17CF571E" w14:textId="77777777" w:rsidR="00E059D9" w:rsidRPr="00AB00FE" w:rsidRDefault="00E059D9" w:rsidP="00BE498B">
      <w:pPr>
        <w:spacing w:line="276" w:lineRule="auto"/>
        <w:jc w:val="both"/>
        <w:rPr>
          <w:rFonts w:ascii="Arial" w:eastAsia="Arial Unicode MS" w:hAnsi="Arial" w:cs="Arial"/>
        </w:rPr>
      </w:pPr>
    </w:p>
    <w:p w14:paraId="084DCFB3" w14:textId="77777777" w:rsidR="00E9500F" w:rsidRPr="00AB00FE" w:rsidRDefault="00903060" w:rsidP="00BE498B">
      <w:pPr>
        <w:spacing w:line="360" w:lineRule="auto"/>
        <w:jc w:val="both"/>
        <w:rPr>
          <w:rFonts w:ascii="Arial" w:eastAsia="Arial Unicode MS" w:hAnsi="Arial" w:cs="Arial"/>
        </w:rPr>
      </w:pPr>
      <w:r>
        <w:rPr>
          <w:rFonts w:ascii="Arial" w:eastAsia="Arial Unicode MS" w:hAnsi="Arial" w:cs="Arial"/>
          <w:lang w:val="fr-CA"/>
        </w:rPr>
        <w:t xml:space="preserve">Le Conseil d’examen se compose de cinq membres élus pour un mandat de trois ans. Le ministre responsable du CETES nomme les membres du Conseil d’examen et désigne parmi eux un membre à la présidence et un membre à la vice-présidence. </w:t>
      </w:r>
    </w:p>
    <w:p w14:paraId="7482F4C2" w14:textId="77777777" w:rsidR="003F135B" w:rsidRPr="00AB00FE" w:rsidRDefault="003F135B" w:rsidP="00957BB7">
      <w:pPr>
        <w:jc w:val="both"/>
        <w:rPr>
          <w:rFonts w:ascii="Arial" w:eastAsia="Arial Unicode MS" w:hAnsi="Arial" w:cs="Arial"/>
        </w:rPr>
      </w:pPr>
    </w:p>
    <w:p w14:paraId="5EF4AE83" w14:textId="51B0984B" w:rsidR="00903060" w:rsidRPr="00AB00FE" w:rsidRDefault="000F7A56" w:rsidP="00BE498B">
      <w:pPr>
        <w:spacing w:line="360" w:lineRule="auto"/>
        <w:jc w:val="both"/>
        <w:rPr>
          <w:rFonts w:ascii="Arial" w:eastAsia="Arial Unicode MS" w:hAnsi="Arial" w:cs="Arial"/>
        </w:rPr>
      </w:pPr>
      <w:r>
        <w:rPr>
          <w:rFonts w:ascii="Arial" w:eastAsia="Arial Unicode MS" w:hAnsi="Arial" w:cs="Arial"/>
          <w:lang w:val="fr-CA"/>
        </w:rPr>
        <w:t xml:space="preserve">Au 31 décembre 2022, la composition du CETES est la suivante : </w:t>
      </w:r>
    </w:p>
    <w:p w14:paraId="4CB31B26" w14:textId="7DEA173D" w:rsidR="00903060" w:rsidRPr="00AB00FE" w:rsidRDefault="004664E4" w:rsidP="00BE498B">
      <w:pPr>
        <w:spacing w:line="276" w:lineRule="auto"/>
        <w:jc w:val="both"/>
        <w:rPr>
          <w:rFonts w:ascii="Arial" w:eastAsia="Arial Unicode MS" w:hAnsi="Arial" w:cs="Arial"/>
        </w:rPr>
      </w:pPr>
      <w:r>
        <w:rPr>
          <w:rFonts w:ascii="Arial" w:eastAsia="Arial Unicode MS" w:hAnsi="Arial" w:cs="Arial"/>
          <w:lang w:val="fr-CA"/>
        </w:rPr>
        <w:t>Monica Ell-Kanayuk</w:t>
      </w:r>
      <w:r>
        <w:rPr>
          <w:rFonts w:ascii="Arial" w:eastAsia="Arial Unicode MS" w:hAnsi="Arial" w:cs="Arial"/>
          <w:lang w:val="fr-CA"/>
        </w:rPr>
        <w:tab/>
      </w:r>
      <w:r>
        <w:rPr>
          <w:rFonts w:ascii="Arial" w:eastAsia="Arial Unicode MS" w:hAnsi="Arial" w:cs="Arial"/>
          <w:lang w:val="fr-CA"/>
        </w:rPr>
        <w:tab/>
      </w:r>
      <w:r>
        <w:rPr>
          <w:rFonts w:ascii="Arial" w:eastAsia="Arial Unicode MS" w:hAnsi="Arial" w:cs="Arial"/>
          <w:lang w:val="fr-CA"/>
        </w:rPr>
        <w:tab/>
      </w:r>
      <w:r>
        <w:rPr>
          <w:rFonts w:ascii="Arial" w:eastAsia="Arial Unicode MS" w:hAnsi="Arial" w:cs="Arial"/>
          <w:lang w:val="fr-CA"/>
        </w:rPr>
        <w:tab/>
        <w:t>Présidente</w:t>
      </w:r>
    </w:p>
    <w:p w14:paraId="0E256AD5" w14:textId="77777777" w:rsidR="00672FEE" w:rsidRPr="00AB00FE" w:rsidRDefault="00233CBB" w:rsidP="00BE498B">
      <w:pPr>
        <w:spacing w:line="276" w:lineRule="auto"/>
        <w:jc w:val="both"/>
        <w:rPr>
          <w:rFonts w:ascii="Arial" w:eastAsia="Arial Unicode MS" w:hAnsi="Arial" w:cs="Arial"/>
        </w:rPr>
      </w:pPr>
      <w:r>
        <w:rPr>
          <w:rFonts w:ascii="Arial" w:eastAsia="Arial Unicode MS" w:hAnsi="Arial" w:cs="Arial"/>
          <w:lang w:val="fr-CA"/>
        </w:rPr>
        <w:t>Graham Lock</w:t>
      </w:r>
      <w:r>
        <w:rPr>
          <w:rFonts w:ascii="Arial" w:eastAsia="Arial Unicode MS" w:hAnsi="Arial" w:cs="Arial"/>
          <w:lang w:val="fr-CA"/>
        </w:rPr>
        <w:tab/>
      </w:r>
      <w:r>
        <w:rPr>
          <w:rFonts w:ascii="Arial" w:eastAsia="Arial Unicode MS" w:hAnsi="Arial" w:cs="Arial"/>
          <w:lang w:val="fr-CA"/>
        </w:rPr>
        <w:tab/>
      </w:r>
      <w:r>
        <w:rPr>
          <w:rFonts w:ascii="Arial" w:eastAsia="Arial Unicode MS" w:hAnsi="Arial" w:cs="Arial"/>
          <w:lang w:val="fr-CA"/>
        </w:rPr>
        <w:tab/>
      </w:r>
      <w:r>
        <w:rPr>
          <w:rFonts w:ascii="Arial" w:eastAsia="Arial Unicode MS" w:hAnsi="Arial" w:cs="Arial"/>
          <w:lang w:val="fr-CA"/>
        </w:rPr>
        <w:tab/>
        <w:t>Vice-président</w:t>
      </w:r>
    </w:p>
    <w:p w14:paraId="6A98E1CE" w14:textId="77777777" w:rsidR="00672FEE" w:rsidRPr="00AB00FE" w:rsidRDefault="00233CBB" w:rsidP="00BE498B">
      <w:pPr>
        <w:spacing w:line="276" w:lineRule="auto"/>
        <w:jc w:val="both"/>
        <w:rPr>
          <w:rFonts w:ascii="Arial" w:eastAsia="Arial Unicode MS" w:hAnsi="Arial" w:cs="Arial"/>
        </w:rPr>
      </w:pPr>
      <w:r>
        <w:rPr>
          <w:rFonts w:ascii="Arial" w:eastAsia="Arial Unicode MS" w:hAnsi="Arial" w:cs="Arial"/>
          <w:lang w:val="fr-CA"/>
        </w:rPr>
        <w:t>Robbin Sinclaire</w:t>
      </w:r>
      <w:r>
        <w:rPr>
          <w:rFonts w:ascii="Arial" w:eastAsia="Arial Unicode MS" w:hAnsi="Arial" w:cs="Arial"/>
          <w:lang w:val="fr-CA"/>
        </w:rPr>
        <w:tab/>
      </w:r>
      <w:r>
        <w:rPr>
          <w:rFonts w:ascii="Arial" w:eastAsia="Arial Unicode MS" w:hAnsi="Arial" w:cs="Arial"/>
          <w:lang w:val="fr-CA"/>
        </w:rPr>
        <w:tab/>
      </w:r>
      <w:r>
        <w:rPr>
          <w:rFonts w:ascii="Arial" w:eastAsia="Arial Unicode MS" w:hAnsi="Arial" w:cs="Arial"/>
          <w:lang w:val="fr-CA"/>
        </w:rPr>
        <w:tab/>
      </w:r>
      <w:r>
        <w:rPr>
          <w:rFonts w:ascii="Arial" w:eastAsia="Arial Unicode MS" w:hAnsi="Arial" w:cs="Arial"/>
          <w:lang w:val="fr-CA"/>
        </w:rPr>
        <w:tab/>
        <w:t>Membre</w:t>
      </w:r>
    </w:p>
    <w:p w14:paraId="061B94A0" w14:textId="50A80FF9" w:rsidR="004F4EBB" w:rsidRPr="00AB00FE" w:rsidRDefault="00233CBB" w:rsidP="00BE498B">
      <w:pPr>
        <w:spacing w:line="276" w:lineRule="auto"/>
        <w:jc w:val="both"/>
        <w:rPr>
          <w:rFonts w:ascii="Arial" w:eastAsia="Arial Unicode MS" w:hAnsi="Arial" w:cs="Arial"/>
        </w:rPr>
      </w:pPr>
      <w:r>
        <w:rPr>
          <w:rFonts w:ascii="Arial" w:eastAsia="Arial Unicode MS" w:hAnsi="Arial" w:cs="Arial"/>
          <w:lang w:val="fr-CA"/>
        </w:rPr>
        <w:t>Nadia Ciccone</w:t>
      </w:r>
      <w:r>
        <w:rPr>
          <w:rFonts w:ascii="Arial" w:eastAsia="Arial Unicode MS" w:hAnsi="Arial" w:cs="Arial"/>
          <w:lang w:val="fr-CA"/>
        </w:rPr>
        <w:tab/>
      </w:r>
      <w:r>
        <w:rPr>
          <w:rFonts w:ascii="Arial" w:eastAsia="Arial Unicode MS" w:hAnsi="Arial" w:cs="Arial"/>
          <w:lang w:val="fr-CA"/>
        </w:rPr>
        <w:tab/>
      </w:r>
      <w:r>
        <w:rPr>
          <w:rFonts w:ascii="Arial" w:eastAsia="Arial Unicode MS" w:hAnsi="Arial" w:cs="Arial"/>
          <w:lang w:val="fr-CA"/>
        </w:rPr>
        <w:tab/>
      </w:r>
      <w:r>
        <w:rPr>
          <w:rFonts w:ascii="Arial" w:eastAsia="Arial Unicode MS" w:hAnsi="Arial" w:cs="Arial"/>
          <w:lang w:val="fr-CA"/>
        </w:rPr>
        <w:tab/>
        <w:t>Membre</w:t>
      </w:r>
    </w:p>
    <w:p w14:paraId="010595E4" w14:textId="3CFE47F3" w:rsidR="00B03E27" w:rsidRPr="00AB00FE" w:rsidRDefault="00B03E27" w:rsidP="00B03E27">
      <w:pPr>
        <w:spacing w:line="276" w:lineRule="auto"/>
        <w:jc w:val="both"/>
        <w:rPr>
          <w:rFonts w:ascii="Arial" w:eastAsia="Arial Unicode MS" w:hAnsi="Arial" w:cs="Arial"/>
        </w:rPr>
      </w:pPr>
      <w:r>
        <w:rPr>
          <w:rFonts w:ascii="Arial" w:eastAsia="Arial Unicode MS" w:hAnsi="Arial" w:cs="Arial"/>
          <w:lang w:val="fr-CA"/>
        </w:rPr>
        <w:t>Bill Williams</w:t>
      </w:r>
      <w:r>
        <w:rPr>
          <w:rFonts w:ascii="Arial" w:eastAsia="Arial Unicode MS" w:hAnsi="Arial" w:cs="Arial"/>
          <w:lang w:val="fr-CA"/>
        </w:rPr>
        <w:tab/>
      </w:r>
      <w:r>
        <w:rPr>
          <w:rFonts w:ascii="Arial" w:eastAsia="Arial Unicode MS" w:hAnsi="Arial" w:cs="Arial"/>
          <w:lang w:val="fr-CA"/>
        </w:rPr>
        <w:tab/>
      </w:r>
      <w:r>
        <w:rPr>
          <w:rFonts w:ascii="Arial" w:eastAsia="Arial Unicode MS" w:hAnsi="Arial" w:cs="Arial"/>
          <w:lang w:val="fr-CA"/>
        </w:rPr>
        <w:tab/>
      </w:r>
      <w:r>
        <w:rPr>
          <w:rFonts w:ascii="Arial" w:eastAsia="Arial Unicode MS" w:hAnsi="Arial" w:cs="Arial"/>
          <w:lang w:val="fr-CA"/>
        </w:rPr>
        <w:tab/>
      </w:r>
      <w:r>
        <w:rPr>
          <w:rFonts w:ascii="Arial" w:eastAsia="Arial Unicode MS" w:hAnsi="Arial" w:cs="Arial"/>
          <w:lang w:val="fr-CA"/>
        </w:rPr>
        <w:tab/>
        <w:t>Membre</w:t>
      </w:r>
    </w:p>
    <w:p w14:paraId="5A79B3C6" w14:textId="77777777" w:rsidR="00B03E27" w:rsidRPr="00AB00FE" w:rsidRDefault="00B03E27" w:rsidP="00BE498B">
      <w:pPr>
        <w:spacing w:line="276" w:lineRule="auto"/>
        <w:jc w:val="both"/>
        <w:rPr>
          <w:rFonts w:ascii="Arial" w:eastAsia="Arial Unicode MS" w:hAnsi="Arial" w:cs="Arial"/>
        </w:rPr>
      </w:pPr>
    </w:p>
    <w:p w14:paraId="7BF07F8C" w14:textId="52E28F62" w:rsidR="004E3168" w:rsidRPr="00AB00FE" w:rsidRDefault="004E3168" w:rsidP="00DA1529">
      <w:pPr>
        <w:spacing w:line="360" w:lineRule="auto"/>
        <w:jc w:val="both"/>
        <w:rPr>
          <w:rFonts w:ascii="Arial" w:eastAsia="Arial Unicode MS" w:hAnsi="Arial" w:cs="Arial"/>
        </w:rPr>
      </w:pPr>
      <w:r>
        <w:rPr>
          <w:rFonts w:ascii="Arial" w:eastAsia="Arial Unicode MS" w:hAnsi="Arial" w:cs="Arial"/>
          <w:lang w:val="fr-CA"/>
        </w:rPr>
        <w:t xml:space="preserve">La nomination de Nadia Ciccone a pris fin. En vertu de l’article 3 (6) de la </w:t>
      </w:r>
      <w:r w:rsidRPr="006A1D32">
        <w:rPr>
          <w:rFonts w:ascii="Arial" w:eastAsia="Arial Unicode MS" w:hAnsi="Arial" w:cs="Arial"/>
          <w:i/>
          <w:iCs/>
          <w:lang w:val="fr-CA"/>
        </w:rPr>
        <w:t>Loi sur le CETES</w:t>
      </w:r>
      <w:r>
        <w:rPr>
          <w:rFonts w:ascii="Arial" w:eastAsia="Arial Unicode MS" w:hAnsi="Arial" w:cs="Arial"/>
          <w:lang w:val="fr-CA"/>
        </w:rPr>
        <w:t xml:space="preserve">, les membres du Conseil d’examen continuent d’exercer leurs fonctions jusqu’à ce qu’ils soient nommés de nouveau ou jusqu’à la nomination de leur succession. </w:t>
      </w:r>
    </w:p>
    <w:p w14:paraId="15077C55" w14:textId="5B397490" w:rsidR="004664E4" w:rsidRPr="00AB00FE" w:rsidRDefault="004664E4" w:rsidP="00DA1529">
      <w:pPr>
        <w:spacing w:line="360" w:lineRule="auto"/>
        <w:jc w:val="both"/>
        <w:rPr>
          <w:rFonts w:ascii="Arial" w:eastAsia="Arial Unicode MS" w:hAnsi="Arial" w:cs="Arial"/>
        </w:rPr>
      </w:pPr>
    </w:p>
    <w:p w14:paraId="46398E2E" w14:textId="528F9663" w:rsidR="004664E4" w:rsidRPr="00AB00FE" w:rsidRDefault="004664E4" w:rsidP="00DA1529">
      <w:pPr>
        <w:spacing w:line="360" w:lineRule="auto"/>
        <w:jc w:val="both"/>
        <w:rPr>
          <w:rFonts w:ascii="Arial" w:eastAsia="Arial Unicode MS" w:hAnsi="Arial" w:cs="Arial"/>
          <w:u w:val="single"/>
        </w:rPr>
      </w:pPr>
      <w:r>
        <w:rPr>
          <w:rFonts w:ascii="Arial" w:eastAsia="Arial Unicode MS" w:hAnsi="Arial" w:cs="Arial"/>
          <w:u w:val="single"/>
          <w:lang w:val="fr-CA"/>
        </w:rPr>
        <w:t>Recrutement de membres en 2022</w:t>
      </w:r>
    </w:p>
    <w:p w14:paraId="545A13DF" w14:textId="6D251ED1" w:rsidR="006F4452" w:rsidRPr="00AB00FE" w:rsidRDefault="006F4452" w:rsidP="002F5D5F">
      <w:pPr>
        <w:spacing w:line="276" w:lineRule="auto"/>
        <w:jc w:val="both"/>
        <w:rPr>
          <w:rFonts w:ascii="Arial" w:eastAsia="Arial Unicode MS" w:hAnsi="Arial" w:cs="Arial"/>
        </w:rPr>
      </w:pPr>
    </w:p>
    <w:p w14:paraId="363D57F6" w14:textId="6BF62833" w:rsidR="002F5D5F" w:rsidRPr="00AB00FE" w:rsidRDefault="002F5D5F" w:rsidP="002F5D5F">
      <w:pPr>
        <w:spacing w:line="276" w:lineRule="auto"/>
        <w:jc w:val="both"/>
        <w:rPr>
          <w:rFonts w:ascii="Arial" w:eastAsia="Arial Unicode MS" w:hAnsi="Arial" w:cs="Arial"/>
        </w:rPr>
      </w:pPr>
      <w:r>
        <w:rPr>
          <w:rFonts w:ascii="Arial" w:eastAsia="Arial Unicode MS" w:hAnsi="Arial" w:cs="Arial"/>
          <w:lang w:val="fr-CA"/>
        </w:rPr>
        <w:t xml:space="preserve">En 2022, le Conseil a tenté plusieurs fois de trouver des candidats. La première tentative s’est tenue au début de 2022 : Le premier ministre a envoyé une lettre à tous les membres de l’Assemblée législative pour recruter des candidats. </w:t>
      </w:r>
    </w:p>
    <w:p w14:paraId="441C191C" w14:textId="5AF9A50A" w:rsidR="002F5D5F" w:rsidRPr="00AB00FE" w:rsidRDefault="002F5D5F" w:rsidP="002F5D5F">
      <w:pPr>
        <w:spacing w:line="276" w:lineRule="auto"/>
        <w:jc w:val="both"/>
        <w:rPr>
          <w:rFonts w:ascii="Arial" w:eastAsia="Arial Unicode MS" w:hAnsi="Arial" w:cs="Arial"/>
        </w:rPr>
      </w:pPr>
      <w:r>
        <w:rPr>
          <w:rFonts w:ascii="Arial" w:eastAsia="Arial Unicode MS" w:hAnsi="Arial" w:cs="Arial"/>
          <w:lang w:val="fr-CA"/>
        </w:rPr>
        <w:t xml:space="preserve"> </w:t>
      </w:r>
    </w:p>
    <w:p w14:paraId="49526E13" w14:textId="0BB3AA9C" w:rsidR="00E24AA2" w:rsidRPr="00AB00FE" w:rsidRDefault="002F5D5F" w:rsidP="00E24AA2">
      <w:pPr>
        <w:jc w:val="both"/>
        <w:rPr>
          <w:rFonts w:ascii="Arial" w:hAnsi="Arial" w:cs="Arial"/>
        </w:rPr>
      </w:pPr>
      <w:r>
        <w:rPr>
          <w:rFonts w:ascii="Arial" w:hAnsi="Arial" w:cs="Arial"/>
          <w:lang w:val="fr-CA"/>
        </w:rPr>
        <w:t>La deuxième tentative consistait en une annonce distribuée dans chaque collectivité. Le message publicitaire a été diffusé du 1</w:t>
      </w:r>
      <w:r>
        <w:rPr>
          <w:rFonts w:ascii="Arial" w:hAnsi="Arial" w:cs="Arial"/>
          <w:vertAlign w:val="superscript"/>
          <w:lang w:val="fr-CA"/>
        </w:rPr>
        <w:t>er</w:t>
      </w:r>
      <w:r>
        <w:rPr>
          <w:rFonts w:ascii="Arial" w:hAnsi="Arial" w:cs="Arial"/>
          <w:lang w:val="fr-CA"/>
        </w:rPr>
        <w:t xml:space="preserve"> octobre au 1</w:t>
      </w:r>
      <w:r>
        <w:rPr>
          <w:rFonts w:ascii="Arial" w:hAnsi="Arial" w:cs="Arial"/>
          <w:vertAlign w:val="superscript"/>
          <w:lang w:val="fr-CA"/>
        </w:rPr>
        <w:t>er</w:t>
      </w:r>
      <w:r>
        <w:rPr>
          <w:rFonts w:ascii="Arial" w:hAnsi="Arial" w:cs="Arial"/>
          <w:lang w:val="fr-CA"/>
        </w:rPr>
        <w:t xml:space="preserve"> décembre 2022. Cette dernière tentative sera prolongée jusqu’à ce qu’un Inuit de l’Accord du Nunavut soit identifié. </w:t>
      </w:r>
    </w:p>
    <w:p w14:paraId="1028AEF0" w14:textId="77777777" w:rsidR="004664E4" w:rsidRPr="00AB00FE" w:rsidRDefault="004664E4" w:rsidP="00BE498B">
      <w:pPr>
        <w:spacing w:line="276" w:lineRule="auto"/>
        <w:jc w:val="both"/>
        <w:rPr>
          <w:rFonts w:ascii="Arial" w:eastAsia="Arial Unicode MS" w:hAnsi="Arial" w:cs="Arial"/>
        </w:rPr>
      </w:pPr>
    </w:p>
    <w:p w14:paraId="1EB92F26" w14:textId="77777777" w:rsidR="00DC6993" w:rsidRPr="00AB00FE" w:rsidRDefault="00DC6993" w:rsidP="00BE498B">
      <w:pPr>
        <w:spacing w:line="360" w:lineRule="auto"/>
        <w:jc w:val="both"/>
        <w:rPr>
          <w:rFonts w:ascii="Arial" w:eastAsia="Arial Unicode MS" w:hAnsi="Arial" w:cs="Arial"/>
          <w:u w:val="single"/>
        </w:rPr>
      </w:pPr>
      <w:r>
        <w:rPr>
          <w:rFonts w:ascii="Arial" w:eastAsia="Arial Unicode MS" w:hAnsi="Arial" w:cs="Arial"/>
          <w:u w:val="single"/>
          <w:lang w:val="fr-CA"/>
        </w:rPr>
        <w:t>Membres temporaires</w:t>
      </w:r>
    </w:p>
    <w:p w14:paraId="634460F4" w14:textId="77777777" w:rsidR="0093390B" w:rsidRPr="00AB00FE" w:rsidRDefault="00EB3487" w:rsidP="00BE498B">
      <w:pPr>
        <w:spacing w:line="360" w:lineRule="auto"/>
        <w:jc w:val="both"/>
        <w:rPr>
          <w:rFonts w:ascii="Arial" w:eastAsia="Arial Unicode MS" w:hAnsi="Arial" w:cs="Arial"/>
        </w:rPr>
      </w:pPr>
      <w:r>
        <w:rPr>
          <w:rFonts w:ascii="Arial" w:eastAsia="Arial Unicode MS" w:hAnsi="Arial" w:cs="Arial"/>
          <w:lang w:val="fr-CA"/>
        </w:rPr>
        <w:t xml:space="preserve">En plus des membres nommés aux termes de l’article 3 (1) de la Loi, le ministre responsable du CETES peut nommer, sur demande du Conseil d’examen, au plus deux membres temporaires du Conseil d’examen pour des questions particulières confiées au </w:t>
      </w:r>
      <w:r>
        <w:rPr>
          <w:rFonts w:ascii="Arial" w:eastAsia="Arial Unicode MS" w:hAnsi="Arial" w:cs="Arial"/>
          <w:lang w:val="fr-CA"/>
        </w:rPr>
        <w:lastRenderedPageBreak/>
        <w:t>Conseil d’examen, et il peut préciser le mandat et les attributions de ces membres temporaires. Le Conseil n’avait pas besoin de membre temporaire pour cet exercice.</w:t>
      </w:r>
    </w:p>
    <w:p w14:paraId="4152962D" w14:textId="5CC3EC12" w:rsidR="006B67EA" w:rsidRPr="00AB00FE" w:rsidRDefault="00DC6993" w:rsidP="00BE498B">
      <w:pPr>
        <w:spacing w:line="360" w:lineRule="auto"/>
        <w:jc w:val="both"/>
        <w:rPr>
          <w:rFonts w:ascii="Arial" w:eastAsia="Arial Unicode MS" w:hAnsi="Arial" w:cs="Arial"/>
        </w:rPr>
      </w:pPr>
      <w:r>
        <w:rPr>
          <w:rFonts w:ascii="Arial" w:eastAsia="Arial Unicode MS" w:hAnsi="Arial" w:cs="Arial"/>
          <w:lang w:val="fr-CA"/>
        </w:rPr>
        <w:t xml:space="preserve"> </w:t>
      </w:r>
    </w:p>
    <w:p w14:paraId="07D92FC9" w14:textId="77777777" w:rsidR="00DC6993" w:rsidRPr="00AB00FE" w:rsidRDefault="00DC6993" w:rsidP="00BE498B">
      <w:pPr>
        <w:spacing w:line="360" w:lineRule="auto"/>
        <w:jc w:val="both"/>
        <w:rPr>
          <w:rFonts w:ascii="Arial" w:eastAsia="Arial Unicode MS" w:hAnsi="Arial" w:cs="Arial"/>
          <w:u w:val="single"/>
        </w:rPr>
      </w:pPr>
      <w:r>
        <w:rPr>
          <w:rFonts w:ascii="Arial" w:eastAsia="Arial Unicode MS" w:hAnsi="Arial" w:cs="Arial"/>
          <w:u w:val="single"/>
          <w:lang w:val="fr-CA"/>
        </w:rPr>
        <w:t>Direction générale</w:t>
      </w:r>
    </w:p>
    <w:p w14:paraId="320AD5E9" w14:textId="182B8B38" w:rsidR="00EB3487" w:rsidRPr="00AB00FE" w:rsidRDefault="00B438B9" w:rsidP="00BE498B">
      <w:pPr>
        <w:spacing w:line="360" w:lineRule="auto"/>
        <w:jc w:val="both"/>
        <w:rPr>
          <w:rFonts w:ascii="Arial" w:eastAsia="Arial Unicode MS" w:hAnsi="Arial" w:cs="Arial"/>
        </w:rPr>
      </w:pPr>
      <w:r>
        <w:rPr>
          <w:rFonts w:ascii="Arial" w:eastAsia="Arial Unicode MS" w:hAnsi="Arial" w:cs="Arial"/>
          <w:lang w:val="fr-CA"/>
        </w:rPr>
        <w:t xml:space="preserve">En vertu de l’article 3 (9), le Conseil d’examen peut nommer un directeur général et établir les modalités de la nomination. Les fonctions du directeur général sont définies à l’article 3 (10) : Le directeur général a) tient un registre des délibérations du Conseil d’examen et a la garde des registres et documents du Conseil d’examen; et b) s’acquitte de toute autre fonction que peut lui assigner le Conseil d’examen. </w:t>
      </w:r>
    </w:p>
    <w:p w14:paraId="64BD25B5" w14:textId="3321B866" w:rsidR="00206C82" w:rsidRPr="00AB00FE" w:rsidRDefault="00206C82" w:rsidP="00BE498B">
      <w:pPr>
        <w:jc w:val="both"/>
        <w:rPr>
          <w:rFonts w:ascii="Arial" w:hAnsi="Arial" w:cs="Arial"/>
        </w:rPr>
      </w:pPr>
    </w:p>
    <w:p w14:paraId="415AC4E8" w14:textId="77777777" w:rsidR="00DC6993" w:rsidRPr="00AB00FE" w:rsidRDefault="00DC6993" w:rsidP="00BE498B">
      <w:pPr>
        <w:spacing w:line="360" w:lineRule="auto"/>
        <w:jc w:val="both"/>
        <w:rPr>
          <w:rFonts w:ascii="Arial" w:eastAsia="Arial Unicode MS" w:hAnsi="Arial" w:cs="Arial"/>
          <w:u w:val="single"/>
        </w:rPr>
      </w:pPr>
      <w:r>
        <w:rPr>
          <w:rFonts w:ascii="Arial" w:eastAsia="Arial Unicode MS" w:hAnsi="Arial" w:cs="Arial"/>
          <w:u w:val="single"/>
          <w:lang w:val="fr-CA"/>
        </w:rPr>
        <w:t>Services de consultance</w:t>
      </w:r>
    </w:p>
    <w:p w14:paraId="5240C7A1" w14:textId="226524C4" w:rsidR="00206C82" w:rsidRPr="00AB00FE" w:rsidRDefault="009A0FE1" w:rsidP="00BE498B">
      <w:pPr>
        <w:spacing w:line="360" w:lineRule="auto"/>
        <w:jc w:val="both"/>
        <w:rPr>
          <w:rFonts w:ascii="Arial" w:eastAsia="Arial Unicode MS" w:hAnsi="Arial" w:cs="Arial"/>
        </w:rPr>
      </w:pPr>
      <w:r>
        <w:rPr>
          <w:rFonts w:ascii="Arial" w:eastAsia="Arial Unicode MS" w:hAnsi="Arial" w:cs="Arial"/>
          <w:lang w:val="fr-CA"/>
        </w:rPr>
        <w:t xml:space="preserve">En vertu de l’article 8 (1) (b) de la </w:t>
      </w:r>
      <w:r w:rsidRPr="006A1D32">
        <w:rPr>
          <w:rFonts w:ascii="Arial" w:eastAsia="Arial Unicode MS" w:hAnsi="Arial" w:cs="Arial"/>
          <w:i/>
          <w:iCs/>
          <w:lang w:val="fr-CA"/>
        </w:rPr>
        <w:t>Loi sur le CETES</w:t>
      </w:r>
      <w:r>
        <w:rPr>
          <w:rFonts w:ascii="Arial" w:eastAsia="Arial Unicode MS" w:hAnsi="Arial" w:cs="Arial"/>
          <w:lang w:val="fr-CA"/>
        </w:rPr>
        <w:t xml:space="preserve">, en 2018, le CETES a conclu une entente pour retenir les services de l’Alberta Utilities Commission en matière d’analyse et de rédaction pour des questions en lien avec le CETES. L’Alberta Utilities Commission a désigné M. Wade Vienneau pour seconder dans le traitement des demandes reçues. </w:t>
      </w:r>
    </w:p>
    <w:p w14:paraId="1A37530B" w14:textId="77777777" w:rsidR="007D61C1" w:rsidRPr="00AB00FE" w:rsidRDefault="007D61C1" w:rsidP="00BE498B">
      <w:pPr>
        <w:spacing w:line="276" w:lineRule="auto"/>
        <w:jc w:val="both"/>
        <w:rPr>
          <w:rFonts w:ascii="Arial" w:eastAsia="Arial Unicode MS" w:hAnsi="Arial" w:cs="Arial"/>
        </w:rPr>
      </w:pPr>
    </w:p>
    <w:p w14:paraId="57798185" w14:textId="77777777" w:rsidR="00B4673A" w:rsidRPr="00AB00FE" w:rsidRDefault="00DE673B" w:rsidP="00BE498B">
      <w:pPr>
        <w:spacing w:line="360" w:lineRule="auto"/>
        <w:jc w:val="both"/>
        <w:rPr>
          <w:rFonts w:ascii="Arial" w:eastAsia="Arial Unicode MS" w:hAnsi="Arial" w:cs="Arial"/>
        </w:rPr>
      </w:pPr>
      <w:r>
        <w:rPr>
          <w:rFonts w:ascii="Arial" w:eastAsia="Arial Unicode MS" w:hAnsi="Arial" w:cs="Arial"/>
          <w:lang w:val="fr-CA"/>
        </w:rPr>
        <w:t>Les services de M. John Donihee, qui agit à titre de conseiller juridique du CETES, continuent d’être retenus conformément à l’article 8 (1) b) de la Loi. M. Donihee apporte au CETES sa connaissance approfondie et son expertise en matière d’énergie, de droit autochtone et de consultation quant à la règlementation.</w:t>
      </w:r>
    </w:p>
    <w:p w14:paraId="6B6AB1D1" w14:textId="19FA7389" w:rsidR="009E3C80" w:rsidRPr="00AB00FE" w:rsidRDefault="009E3C80">
      <w:pPr>
        <w:rPr>
          <w:rFonts w:ascii="Arial" w:eastAsia="Arial Unicode MS" w:hAnsi="Arial" w:cs="Arial"/>
        </w:rPr>
      </w:pPr>
      <w:r>
        <w:rPr>
          <w:rFonts w:ascii="Arial" w:eastAsia="Arial Unicode MS" w:hAnsi="Arial" w:cs="Arial"/>
          <w:lang w:val="fr-CA"/>
        </w:rPr>
        <w:br w:type="page"/>
      </w:r>
    </w:p>
    <w:p w14:paraId="382F14D4" w14:textId="77777777" w:rsidR="00931546" w:rsidRPr="00AB00FE" w:rsidRDefault="00931546" w:rsidP="00BE498B">
      <w:pPr>
        <w:spacing w:line="276" w:lineRule="auto"/>
        <w:jc w:val="both"/>
        <w:rPr>
          <w:rFonts w:ascii="Arial" w:eastAsia="Arial Unicode MS" w:hAnsi="Arial" w:cs="Arial"/>
        </w:rPr>
      </w:pPr>
    </w:p>
    <w:p w14:paraId="77348B58" w14:textId="77777777" w:rsidR="00B4673A" w:rsidRPr="00AB00FE" w:rsidRDefault="00B4673A" w:rsidP="00BE498B">
      <w:pPr>
        <w:pStyle w:val="ListParagraph"/>
        <w:numPr>
          <w:ilvl w:val="0"/>
          <w:numId w:val="1"/>
        </w:numPr>
        <w:spacing w:line="360" w:lineRule="auto"/>
        <w:jc w:val="both"/>
        <w:rPr>
          <w:rFonts w:ascii="Arial" w:eastAsia="Arial Unicode MS" w:hAnsi="Arial" w:cs="Arial"/>
        </w:rPr>
      </w:pPr>
      <w:r>
        <w:rPr>
          <w:rFonts w:ascii="Arial" w:eastAsia="Arial Unicode MS" w:hAnsi="Arial" w:cs="Arial"/>
          <w:b/>
          <w:bCs/>
          <w:u w:val="single"/>
          <w:lang w:val="fr-CA"/>
        </w:rPr>
        <w:t>BUDGET</w:t>
      </w:r>
    </w:p>
    <w:p w14:paraId="35D2A8E1" w14:textId="77777777" w:rsidR="009516DE" w:rsidRPr="00AB00FE" w:rsidRDefault="009516DE" w:rsidP="00BE498B">
      <w:pPr>
        <w:spacing w:line="360" w:lineRule="auto"/>
        <w:jc w:val="both"/>
        <w:rPr>
          <w:rFonts w:ascii="Arial" w:eastAsia="Arial Unicode MS" w:hAnsi="Arial" w:cs="Arial"/>
        </w:rPr>
      </w:pPr>
    </w:p>
    <w:p w14:paraId="6DA58798" w14:textId="71B47EBF" w:rsidR="00B4673A" w:rsidRPr="00AB00FE" w:rsidRDefault="004F3640" w:rsidP="00BE498B">
      <w:pPr>
        <w:spacing w:line="360" w:lineRule="auto"/>
        <w:jc w:val="both"/>
        <w:rPr>
          <w:rFonts w:ascii="Arial" w:eastAsia="Arial Unicode MS" w:hAnsi="Arial" w:cs="Arial"/>
        </w:rPr>
      </w:pPr>
      <w:r>
        <w:rPr>
          <w:rFonts w:ascii="Arial" w:eastAsia="Arial Unicode MS" w:hAnsi="Arial" w:cs="Arial"/>
          <w:lang w:val="fr-CA"/>
        </w:rPr>
        <w:t xml:space="preserve">En 2022, le budget de fonctionnement et d’entretien du Conseil était de 341 000 $. </w:t>
      </w:r>
    </w:p>
    <w:p w14:paraId="024FB37B" w14:textId="77777777" w:rsidR="00EB0442" w:rsidRPr="00AB00FE" w:rsidRDefault="00EB0442" w:rsidP="00BE498B">
      <w:pPr>
        <w:spacing w:line="360" w:lineRule="auto"/>
        <w:jc w:val="both"/>
        <w:rPr>
          <w:rFonts w:ascii="Arial" w:eastAsia="Arial Unicode MS" w:hAnsi="Arial" w:cs="Arial"/>
        </w:rPr>
      </w:pPr>
    </w:p>
    <w:tbl>
      <w:tblPr>
        <w:tblW w:w="60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51"/>
        <w:gridCol w:w="2079"/>
      </w:tblGrid>
      <w:tr w:rsidR="002E7045" w:rsidRPr="00AB00FE" w14:paraId="47DB6A92" w14:textId="77777777" w:rsidTr="001242BA">
        <w:trPr>
          <w:trHeight w:val="684"/>
          <w:jc w:val="center"/>
        </w:trPr>
        <w:tc>
          <w:tcPr>
            <w:tcW w:w="6030" w:type="dxa"/>
            <w:gridSpan w:val="2"/>
            <w:shd w:val="clear" w:color="auto" w:fill="auto"/>
            <w:noWrap/>
            <w:vAlign w:val="center"/>
          </w:tcPr>
          <w:p w14:paraId="46A52078" w14:textId="609FA2AB" w:rsidR="002E7045" w:rsidRPr="00AB00FE" w:rsidRDefault="004664E4" w:rsidP="00BE498B">
            <w:pPr>
              <w:jc w:val="both"/>
              <w:rPr>
                <w:rFonts w:ascii="Arial" w:hAnsi="Arial" w:cs="Arial"/>
                <w:sz w:val="28"/>
                <w:szCs w:val="28"/>
              </w:rPr>
            </w:pPr>
            <w:bookmarkStart w:id="0" w:name="_Hlk32314990"/>
            <w:r>
              <w:rPr>
                <w:rFonts w:ascii="Arial" w:hAnsi="Arial" w:cs="Arial"/>
                <w:sz w:val="28"/>
                <w:szCs w:val="28"/>
                <w:lang w:val="fr-CA"/>
              </w:rPr>
              <w:t>Budget de F et E 2022 du Conseil d’examen des taux des entreprises de service</w:t>
            </w:r>
          </w:p>
        </w:tc>
      </w:tr>
      <w:tr w:rsidR="001242BA" w:rsidRPr="00AB00FE" w14:paraId="17890911" w14:textId="77777777" w:rsidTr="001242BA">
        <w:trPr>
          <w:trHeight w:val="684"/>
          <w:jc w:val="center"/>
        </w:trPr>
        <w:tc>
          <w:tcPr>
            <w:tcW w:w="3951" w:type="dxa"/>
            <w:shd w:val="clear" w:color="auto" w:fill="auto"/>
            <w:noWrap/>
            <w:vAlign w:val="center"/>
            <w:hideMark/>
          </w:tcPr>
          <w:p w14:paraId="47943EC0" w14:textId="77777777" w:rsidR="001242BA" w:rsidRPr="00AB00FE" w:rsidRDefault="001242BA" w:rsidP="00BE498B">
            <w:pPr>
              <w:jc w:val="both"/>
              <w:rPr>
                <w:rFonts w:ascii="Arial" w:hAnsi="Arial" w:cs="Arial"/>
                <w:b/>
                <w:sz w:val="28"/>
                <w:szCs w:val="28"/>
              </w:rPr>
            </w:pPr>
            <w:r>
              <w:rPr>
                <w:rFonts w:ascii="Arial" w:hAnsi="Arial" w:cs="Arial"/>
                <w:b/>
                <w:bCs/>
                <w:sz w:val="28"/>
                <w:szCs w:val="28"/>
                <w:lang w:val="fr-CA"/>
              </w:rPr>
              <w:t>Poste budgétaire</w:t>
            </w:r>
          </w:p>
        </w:tc>
        <w:tc>
          <w:tcPr>
            <w:tcW w:w="2079" w:type="dxa"/>
            <w:shd w:val="clear" w:color="auto" w:fill="auto"/>
            <w:vAlign w:val="center"/>
            <w:hideMark/>
          </w:tcPr>
          <w:p w14:paraId="1D38322E" w14:textId="4B82AD33" w:rsidR="001242BA" w:rsidRPr="00AB00FE" w:rsidRDefault="001242BA" w:rsidP="006A1D32">
            <w:pPr>
              <w:jc w:val="center"/>
              <w:rPr>
                <w:rFonts w:ascii="Arial" w:hAnsi="Arial" w:cs="Arial"/>
                <w:sz w:val="28"/>
                <w:szCs w:val="28"/>
              </w:rPr>
            </w:pPr>
            <w:r>
              <w:rPr>
                <w:rFonts w:ascii="Arial" w:hAnsi="Arial" w:cs="Arial"/>
                <w:sz w:val="28"/>
                <w:szCs w:val="28"/>
                <w:lang w:val="fr-CA"/>
              </w:rPr>
              <w:t xml:space="preserve">Budget principal </w:t>
            </w:r>
            <w:r w:rsidR="00D443C9">
              <w:rPr>
                <w:rFonts w:ascii="Arial" w:hAnsi="Arial" w:cs="Arial"/>
                <w:sz w:val="28"/>
                <w:szCs w:val="28"/>
                <w:lang w:val="fr-CA"/>
              </w:rPr>
              <w:t>des </w:t>
            </w:r>
            <w:r>
              <w:rPr>
                <w:rFonts w:ascii="Arial" w:hAnsi="Arial" w:cs="Arial"/>
                <w:sz w:val="28"/>
                <w:szCs w:val="28"/>
                <w:lang w:val="fr-CA"/>
              </w:rPr>
              <w:t>dépenses</w:t>
            </w:r>
          </w:p>
        </w:tc>
      </w:tr>
      <w:tr w:rsidR="001242BA" w:rsidRPr="00AB00FE" w14:paraId="45ED5DD0" w14:textId="77777777" w:rsidTr="001242BA">
        <w:trPr>
          <w:trHeight w:val="260"/>
          <w:jc w:val="center"/>
        </w:trPr>
        <w:tc>
          <w:tcPr>
            <w:tcW w:w="3951" w:type="dxa"/>
            <w:shd w:val="clear" w:color="auto" w:fill="auto"/>
            <w:noWrap/>
            <w:vAlign w:val="center"/>
            <w:hideMark/>
          </w:tcPr>
          <w:p w14:paraId="7F2D919C" w14:textId="77777777" w:rsidR="001242BA" w:rsidRPr="00AB00FE" w:rsidRDefault="001242BA" w:rsidP="006A1D32">
            <w:pPr>
              <w:rPr>
                <w:rFonts w:ascii="Arial" w:hAnsi="Arial" w:cs="Arial"/>
                <w:sz w:val="28"/>
                <w:szCs w:val="28"/>
              </w:rPr>
            </w:pPr>
            <w:r>
              <w:rPr>
                <w:rFonts w:ascii="Arial" w:hAnsi="Arial" w:cs="Arial"/>
                <w:sz w:val="28"/>
                <w:szCs w:val="28"/>
                <w:lang w:val="fr-CA"/>
              </w:rPr>
              <w:t> </w:t>
            </w:r>
          </w:p>
        </w:tc>
        <w:tc>
          <w:tcPr>
            <w:tcW w:w="2079" w:type="dxa"/>
            <w:shd w:val="clear" w:color="auto" w:fill="auto"/>
            <w:noWrap/>
            <w:vAlign w:val="center"/>
            <w:hideMark/>
          </w:tcPr>
          <w:p w14:paraId="123815F8" w14:textId="77777777" w:rsidR="001242BA" w:rsidRPr="00AB00FE" w:rsidRDefault="001242BA" w:rsidP="00BE498B">
            <w:pPr>
              <w:jc w:val="both"/>
              <w:rPr>
                <w:rFonts w:ascii="Arial" w:hAnsi="Arial" w:cs="Arial"/>
                <w:sz w:val="28"/>
                <w:szCs w:val="28"/>
              </w:rPr>
            </w:pPr>
            <w:r>
              <w:rPr>
                <w:rFonts w:ascii="Arial" w:hAnsi="Arial" w:cs="Arial"/>
                <w:sz w:val="28"/>
                <w:szCs w:val="28"/>
                <w:lang w:val="fr-CA"/>
              </w:rPr>
              <w:t> </w:t>
            </w:r>
          </w:p>
        </w:tc>
      </w:tr>
      <w:tr w:rsidR="001242BA" w:rsidRPr="00AB00FE" w14:paraId="6919B6B5" w14:textId="77777777" w:rsidTr="001242BA">
        <w:trPr>
          <w:trHeight w:val="260"/>
          <w:jc w:val="center"/>
        </w:trPr>
        <w:tc>
          <w:tcPr>
            <w:tcW w:w="3951" w:type="dxa"/>
            <w:shd w:val="clear" w:color="auto" w:fill="auto"/>
            <w:noWrap/>
            <w:vAlign w:val="center"/>
            <w:hideMark/>
          </w:tcPr>
          <w:p w14:paraId="3E34C0C4" w14:textId="77777777" w:rsidR="001242BA" w:rsidRPr="00AB00FE" w:rsidRDefault="001242BA" w:rsidP="006A1D32">
            <w:pPr>
              <w:rPr>
                <w:rFonts w:ascii="Arial" w:hAnsi="Arial" w:cs="Arial"/>
                <w:sz w:val="28"/>
                <w:szCs w:val="28"/>
              </w:rPr>
            </w:pPr>
            <w:r>
              <w:rPr>
                <w:rFonts w:ascii="Arial" w:hAnsi="Arial" w:cs="Arial"/>
                <w:sz w:val="28"/>
                <w:szCs w:val="28"/>
                <w:lang w:val="fr-CA"/>
              </w:rPr>
              <w:t>Salaires des postes permanents</w:t>
            </w:r>
          </w:p>
        </w:tc>
        <w:tc>
          <w:tcPr>
            <w:tcW w:w="2079" w:type="dxa"/>
            <w:shd w:val="clear" w:color="auto" w:fill="auto"/>
            <w:noWrap/>
            <w:vAlign w:val="center"/>
            <w:hideMark/>
          </w:tcPr>
          <w:p w14:paraId="08D3EEA1" w14:textId="1CF2750A" w:rsidR="001242BA" w:rsidRPr="00AB00FE" w:rsidRDefault="001242BA" w:rsidP="00C6257C">
            <w:pPr>
              <w:jc w:val="center"/>
              <w:rPr>
                <w:rFonts w:ascii="Arial" w:hAnsi="Arial" w:cs="Arial"/>
                <w:sz w:val="28"/>
                <w:szCs w:val="28"/>
              </w:rPr>
            </w:pPr>
            <w:r>
              <w:rPr>
                <w:rFonts w:ascii="Arial" w:hAnsi="Arial" w:cs="Arial"/>
                <w:sz w:val="28"/>
                <w:szCs w:val="28"/>
                <w:lang w:val="fr-CA"/>
              </w:rPr>
              <w:t>192 000 $</w:t>
            </w:r>
          </w:p>
        </w:tc>
      </w:tr>
      <w:tr w:rsidR="001242BA" w:rsidRPr="00AB00FE" w14:paraId="1551F4DA" w14:textId="77777777" w:rsidTr="001242BA">
        <w:trPr>
          <w:trHeight w:val="260"/>
          <w:jc w:val="center"/>
        </w:trPr>
        <w:tc>
          <w:tcPr>
            <w:tcW w:w="3951" w:type="dxa"/>
            <w:shd w:val="clear" w:color="auto" w:fill="auto"/>
            <w:noWrap/>
            <w:vAlign w:val="center"/>
            <w:hideMark/>
          </w:tcPr>
          <w:p w14:paraId="1A8324A2" w14:textId="77777777" w:rsidR="001242BA" w:rsidRPr="00AB00FE" w:rsidRDefault="001242BA" w:rsidP="006A1D32">
            <w:pPr>
              <w:rPr>
                <w:rFonts w:ascii="Arial" w:hAnsi="Arial" w:cs="Arial"/>
                <w:sz w:val="28"/>
                <w:szCs w:val="28"/>
              </w:rPr>
            </w:pPr>
            <w:r>
              <w:rPr>
                <w:rFonts w:ascii="Arial" w:hAnsi="Arial" w:cs="Arial"/>
                <w:sz w:val="28"/>
                <w:szCs w:val="28"/>
                <w:lang w:val="fr-CA"/>
              </w:rPr>
              <w:t>Salaires des postes occasionnels</w:t>
            </w:r>
          </w:p>
        </w:tc>
        <w:tc>
          <w:tcPr>
            <w:tcW w:w="2079" w:type="dxa"/>
            <w:shd w:val="clear" w:color="auto" w:fill="auto"/>
            <w:noWrap/>
            <w:vAlign w:val="center"/>
            <w:hideMark/>
          </w:tcPr>
          <w:p w14:paraId="34211D64" w14:textId="3F3E2C66" w:rsidR="001242BA" w:rsidRPr="00AB00FE" w:rsidRDefault="001242BA" w:rsidP="00C6257C">
            <w:pPr>
              <w:jc w:val="center"/>
              <w:rPr>
                <w:rFonts w:ascii="Arial" w:hAnsi="Arial" w:cs="Arial"/>
                <w:sz w:val="28"/>
                <w:szCs w:val="28"/>
              </w:rPr>
            </w:pPr>
            <w:r>
              <w:rPr>
                <w:rFonts w:ascii="Arial" w:hAnsi="Arial" w:cs="Arial"/>
                <w:sz w:val="28"/>
                <w:szCs w:val="28"/>
                <w:lang w:val="fr-CA"/>
              </w:rPr>
              <w:t>52 000 $</w:t>
            </w:r>
          </w:p>
        </w:tc>
      </w:tr>
      <w:tr w:rsidR="001242BA" w:rsidRPr="00AB00FE" w14:paraId="2A392DE7" w14:textId="77777777" w:rsidTr="001242BA">
        <w:trPr>
          <w:trHeight w:val="260"/>
          <w:jc w:val="center"/>
        </w:trPr>
        <w:tc>
          <w:tcPr>
            <w:tcW w:w="3951" w:type="dxa"/>
            <w:shd w:val="clear" w:color="auto" w:fill="auto"/>
            <w:noWrap/>
            <w:vAlign w:val="center"/>
            <w:hideMark/>
          </w:tcPr>
          <w:p w14:paraId="042B1C27" w14:textId="77777777" w:rsidR="001242BA" w:rsidRPr="00AB00FE" w:rsidRDefault="001242BA" w:rsidP="006A1D32">
            <w:pPr>
              <w:rPr>
                <w:rFonts w:ascii="Arial" w:hAnsi="Arial" w:cs="Arial"/>
                <w:sz w:val="28"/>
                <w:szCs w:val="28"/>
              </w:rPr>
            </w:pPr>
            <w:r>
              <w:rPr>
                <w:rFonts w:ascii="Arial" w:hAnsi="Arial" w:cs="Arial"/>
                <w:sz w:val="28"/>
                <w:szCs w:val="28"/>
                <w:lang w:val="fr-CA"/>
              </w:rPr>
              <w:t>Déplacements et transports</w:t>
            </w:r>
          </w:p>
        </w:tc>
        <w:tc>
          <w:tcPr>
            <w:tcW w:w="2079" w:type="dxa"/>
            <w:shd w:val="clear" w:color="auto" w:fill="auto"/>
            <w:noWrap/>
            <w:vAlign w:val="center"/>
            <w:hideMark/>
          </w:tcPr>
          <w:p w14:paraId="04E3A630" w14:textId="7086E338" w:rsidR="001242BA" w:rsidRPr="00AB00FE" w:rsidRDefault="001242BA" w:rsidP="00C6257C">
            <w:pPr>
              <w:jc w:val="center"/>
              <w:rPr>
                <w:rFonts w:ascii="Arial" w:hAnsi="Arial" w:cs="Arial"/>
                <w:sz w:val="28"/>
                <w:szCs w:val="28"/>
              </w:rPr>
            </w:pPr>
            <w:r>
              <w:rPr>
                <w:rFonts w:ascii="Arial" w:hAnsi="Arial" w:cs="Arial"/>
                <w:sz w:val="28"/>
                <w:szCs w:val="28"/>
                <w:lang w:val="fr-CA"/>
              </w:rPr>
              <w:t>20 000 $</w:t>
            </w:r>
          </w:p>
        </w:tc>
      </w:tr>
      <w:tr w:rsidR="001242BA" w:rsidRPr="00AB00FE" w14:paraId="0A21E331" w14:textId="77777777" w:rsidTr="001242BA">
        <w:trPr>
          <w:trHeight w:val="260"/>
          <w:jc w:val="center"/>
        </w:trPr>
        <w:tc>
          <w:tcPr>
            <w:tcW w:w="3951" w:type="dxa"/>
            <w:shd w:val="clear" w:color="auto" w:fill="auto"/>
            <w:noWrap/>
            <w:vAlign w:val="center"/>
            <w:hideMark/>
          </w:tcPr>
          <w:p w14:paraId="6EA2BA93" w14:textId="77777777" w:rsidR="001242BA" w:rsidRPr="00AB00FE" w:rsidRDefault="001242BA" w:rsidP="006A1D32">
            <w:pPr>
              <w:rPr>
                <w:rFonts w:ascii="Arial" w:hAnsi="Arial" w:cs="Arial"/>
                <w:sz w:val="28"/>
                <w:szCs w:val="28"/>
              </w:rPr>
            </w:pPr>
            <w:r>
              <w:rPr>
                <w:rFonts w:ascii="Arial" w:hAnsi="Arial" w:cs="Arial"/>
                <w:sz w:val="28"/>
                <w:szCs w:val="28"/>
                <w:lang w:val="fr-CA"/>
              </w:rPr>
              <w:t>Matériel et fournitures</w:t>
            </w:r>
          </w:p>
        </w:tc>
        <w:tc>
          <w:tcPr>
            <w:tcW w:w="2079" w:type="dxa"/>
            <w:shd w:val="clear" w:color="auto" w:fill="auto"/>
            <w:noWrap/>
            <w:vAlign w:val="center"/>
            <w:hideMark/>
          </w:tcPr>
          <w:p w14:paraId="73DC9A6D" w14:textId="0D675392" w:rsidR="001242BA" w:rsidRPr="00AB00FE" w:rsidRDefault="001242BA" w:rsidP="00C6257C">
            <w:pPr>
              <w:jc w:val="center"/>
              <w:rPr>
                <w:rFonts w:ascii="Arial" w:hAnsi="Arial" w:cs="Arial"/>
                <w:sz w:val="28"/>
                <w:szCs w:val="28"/>
              </w:rPr>
            </w:pPr>
            <w:r>
              <w:rPr>
                <w:rFonts w:ascii="Arial" w:hAnsi="Arial" w:cs="Arial"/>
                <w:sz w:val="28"/>
                <w:szCs w:val="28"/>
                <w:lang w:val="fr-CA"/>
              </w:rPr>
              <w:t>5 000 $</w:t>
            </w:r>
          </w:p>
        </w:tc>
      </w:tr>
      <w:tr w:rsidR="001242BA" w:rsidRPr="00AB00FE" w14:paraId="6F50E777" w14:textId="77777777" w:rsidTr="001242BA">
        <w:trPr>
          <w:trHeight w:val="260"/>
          <w:jc w:val="center"/>
        </w:trPr>
        <w:tc>
          <w:tcPr>
            <w:tcW w:w="3951" w:type="dxa"/>
            <w:shd w:val="clear" w:color="auto" w:fill="auto"/>
            <w:noWrap/>
            <w:vAlign w:val="center"/>
            <w:hideMark/>
          </w:tcPr>
          <w:p w14:paraId="51157996" w14:textId="77777777" w:rsidR="001242BA" w:rsidRPr="00AB00FE" w:rsidRDefault="001242BA" w:rsidP="006A1D32">
            <w:pPr>
              <w:rPr>
                <w:rFonts w:ascii="Arial" w:hAnsi="Arial" w:cs="Arial"/>
                <w:sz w:val="28"/>
                <w:szCs w:val="28"/>
              </w:rPr>
            </w:pPr>
            <w:r>
              <w:rPr>
                <w:rFonts w:ascii="Arial" w:hAnsi="Arial" w:cs="Arial"/>
                <w:sz w:val="28"/>
                <w:szCs w:val="28"/>
                <w:lang w:val="fr-CA"/>
              </w:rPr>
              <w:t>Services acquis</w:t>
            </w:r>
          </w:p>
        </w:tc>
        <w:tc>
          <w:tcPr>
            <w:tcW w:w="2079" w:type="dxa"/>
            <w:shd w:val="clear" w:color="auto" w:fill="auto"/>
            <w:noWrap/>
            <w:vAlign w:val="center"/>
            <w:hideMark/>
          </w:tcPr>
          <w:p w14:paraId="3FE63E78" w14:textId="01C7C765" w:rsidR="001242BA" w:rsidRPr="00AB00FE" w:rsidRDefault="001242BA" w:rsidP="00C6257C">
            <w:pPr>
              <w:jc w:val="center"/>
              <w:rPr>
                <w:rFonts w:ascii="Arial" w:hAnsi="Arial" w:cs="Arial"/>
                <w:sz w:val="28"/>
                <w:szCs w:val="28"/>
              </w:rPr>
            </w:pPr>
            <w:r>
              <w:rPr>
                <w:rFonts w:ascii="Arial" w:hAnsi="Arial" w:cs="Arial"/>
                <w:sz w:val="28"/>
                <w:szCs w:val="28"/>
                <w:lang w:val="fr-CA"/>
              </w:rPr>
              <w:t>5 000 $</w:t>
            </w:r>
          </w:p>
        </w:tc>
      </w:tr>
      <w:tr w:rsidR="001242BA" w:rsidRPr="00AB00FE" w14:paraId="1193D532" w14:textId="77777777" w:rsidTr="001242BA">
        <w:trPr>
          <w:trHeight w:val="260"/>
          <w:jc w:val="center"/>
        </w:trPr>
        <w:tc>
          <w:tcPr>
            <w:tcW w:w="3951" w:type="dxa"/>
            <w:shd w:val="clear" w:color="auto" w:fill="auto"/>
            <w:noWrap/>
            <w:vAlign w:val="center"/>
            <w:hideMark/>
          </w:tcPr>
          <w:p w14:paraId="0DCCA4DD" w14:textId="77777777" w:rsidR="001242BA" w:rsidRPr="00AB00FE" w:rsidRDefault="001242BA" w:rsidP="006A1D32">
            <w:pPr>
              <w:rPr>
                <w:rFonts w:ascii="Arial" w:hAnsi="Arial" w:cs="Arial"/>
                <w:sz w:val="28"/>
                <w:szCs w:val="28"/>
              </w:rPr>
            </w:pPr>
            <w:r>
              <w:rPr>
                <w:rFonts w:ascii="Arial" w:hAnsi="Arial" w:cs="Arial"/>
                <w:sz w:val="28"/>
                <w:szCs w:val="28"/>
                <w:lang w:val="fr-CA"/>
              </w:rPr>
              <w:t>Services contractuels</w:t>
            </w:r>
          </w:p>
        </w:tc>
        <w:tc>
          <w:tcPr>
            <w:tcW w:w="2079" w:type="dxa"/>
            <w:shd w:val="clear" w:color="auto" w:fill="auto"/>
            <w:noWrap/>
            <w:vAlign w:val="center"/>
            <w:hideMark/>
          </w:tcPr>
          <w:p w14:paraId="7EDD63A9" w14:textId="2FE38B09" w:rsidR="001242BA" w:rsidRPr="00AB00FE" w:rsidRDefault="001242BA" w:rsidP="00C6257C">
            <w:pPr>
              <w:jc w:val="center"/>
              <w:rPr>
                <w:rFonts w:ascii="Arial" w:hAnsi="Arial" w:cs="Arial"/>
                <w:sz w:val="28"/>
                <w:szCs w:val="28"/>
              </w:rPr>
            </w:pPr>
            <w:r>
              <w:rPr>
                <w:rFonts w:ascii="Arial" w:hAnsi="Arial" w:cs="Arial"/>
                <w:sz w:val="28"/>
                <w:szCs w:val="28"/>
                <w:lang w:val="fr-CA"/>
              </w:rPr>
              <w:t>50 000 $</w:t>
            </w:r>
          </w:p>
        </w:tc>
      </w:tr>
      <w:tr w:rsidR="001242BA" w:rsidRPr="00AB00FE" w14:paraId="4B6EF292" w14:textId="77777777" w:rsidTr="001242BA">
        <w:trPr>
          <w:trHeight w:val="260"/>
          <w:jc w:val="center"/>
        </w:trPr>
        <w:tc>
          <w:tcPr>
            <w:tcW w:w="3951" w:type="dxa"/>
            <w:shd w:val="clear" w:color="auto" w:fill="auto"/>
            <w:noWrap/>
            <w:vAlign w:val="center"/>
            <w:hideMark/>
          </w:tcPr>
          <w:p w14:paraId="6F668A78" w14:textId="77777777" w:rsidR="001242BA" w:rsidRPr="00AB00FE" w:rsidRDefault="001242BA" w:rsidP="006A1D32">
            <w:pPr>
              <w:rPr>
                <w:rFonts w:ascii="Arial" w:hAnsi="Arial" w:cs="Arial"/>
                <w:sz w:val="28"/>
                <w:szCs w:val="28"/>
              </w:rPr>
            </w:pPr>
            <w:r>
              <w:rPr>
                <w:rFonts w:ascii="Arial" w:hAnsi="Arial" w:cs="Arial"/>
                <w:sz w:val="28"/>
                <w:szCs w:val="28"/>
                <w:lang w:val="fr-CA"/>
              </w:rPr>
              <w:t>Honoraires et paiements</w:t>
            </w:r>
          </w:p>
        </w:tc>
        <w:tc>
          <w:tcPr>
            <w:tcW w:w="2079" w:type="dxa"/>
            <w:shd w:val="clear" w:color="auto" w:fill="auto"/>
            <w:noWrap/>
            <w:vAlign w:val="center"/>
            <w:hideMark/>
          </w:tcPr>
          <w:p w14:paraId="4BDB1D59" w14:textId="6C5A8993" w:rsidR="001242BA" w:rsidRPr="00AB00FE" w:rsidRDefault="001242BA" w:rsidP="00C6257C">
            <w:pPr>
              <w:jc w:val="center"/>
              <w:rPr>
                <w:rFonts w:ascii="Arial" w:hAnsi="Arial" w:cs="Arial"/>
                <w:sz w:val="28"/>
                <w:szCs w:val="28"/>
              </w:rPr>
            </w:pPr>
            <w:r>
              <w:rPr>
                <w:rFonts w:ascii="Arial" w:hAnsi="Arial" w:cs="Arial"/>
                <w:sz w:val="28"/>
                <w:szCs w:val="28"/>
                <w:lang w:val="fr-CA"/>
              </w:rPr>
              <w:t>10 000 $</w:t>
            </w:r>
          </w:p>
        </w:tc>
      </w:tr>
      <w:tr w:rsidR="001242BA" w:rsidRPr="00AB00FE" w14:paraId="0D5A32E4" w14:textId="77777777" w:rsidTr="001242BA">
        <w:trPr>
          <w:trHeight w:val="260"/>
          <w:jc w:val="center"/>
        </w:trPr>
        <w:tc>
          <w:tcPr>
            <w:tcW w:w="3951" w:type="dxa"/>
            <w:shd w:val="clear" w:color="auto" w:fill="auto"/>
            <w:noWrap/>
            <w:vAlign w:val="center"/>
            <w:hideMark/>
          </w:tcPr>
          <w:p w14:paraId="7A5CB941" w14:textId="50577C8E" w:rsidR="001242BA" w:rsidRPr="00AB00FE" w:rsidRDefault="00994C09" w:rsidP="006A1D32">
            <w:pPr>
              <w:rPr>
                <w:rFonts w:ascii="Arial" w:hAnsi="Arial" w:cs="Arial"/>
                <w:sz w:val="28"/>
                <w:szCs w:val="28"/>
              </w:rPr>
            </w:pPr>
            <w:r>
              <w:rPr>
                <w:rFonts w:ascii="Arial" w:hAnsi="Arial" w:cs="Arial"/>
                <w:sz w:val="28"/>
                <w:szCs w:val="28"/>
                <w:lang w:val="fr-CA"/>
              </w:rPr>
              <w:t xml:space="preserve">Dépenses relatives </w:t>
            </w:r>
            <w:r w:rsidR="00FE1906">
              <w:rPr>
                <w:rFonts w:ascii="Arial" w:hAnsi="Arial" w:cs="Arial"/>
                <w:sz w:val="28"/>
                <w:szCs w:val="28"/>
                <w:lang w:val="fr-CA"/>
              </w:rPr>
              <w:t>aux biens </w:t>
            </w:r>
            <w:r>
              <w:rPr>
                <w:rFonts w:ascii="Arial" w:hAnsi="Arial" w:cs="Arial"/>
                <w:sz w:val="28"/>
                <w:szCs w:val="28"/>
                <w:lang w:val="fr-CA"/>
              </w:rPr>
              <w:t>corporels</w:t>
            </w:r>
          </w:p>
        </w:tc>
        <w:tc>
          <w:tcPr>
            <w:tcW w:w="2079" w:type="dxa"/>
            <w:shd w:val="clear" w:color="auto" w:fill="auto"/>
            <w:noWrap/>
            <w:vAlign w:val="center"/>
            <w:hideMark/>
          </w:tcPr>
          <w:p w14:paraId="523BFA3C" w14:textId="739916E8" w:rsidR="001242BA" w:rsidRPr="00AB00FE" w:rsidRDefault="001242BA" w:rsidP="00C6257C">
            <w:pPr>
              <w:jc w:val="center"/>
              <w:rPr>
                <w:rFonts w:ascii="Arial" w:hAnsi="Arial" w:cs="Arial"/>
                <w:sz w:val="28"/>
                <w:szCs w:val="28"/>
              </w:rPr>
            </w:pPr>
            <w:r>
              <w:rPr>
                <w:rFonts w:ascii="Arial" w:hAnsi="Arial" w:cs="Arial"/>
                <w:sz w:val="28"/>
                <w:szCs w:val="28"/>
                <w:lang w:val="fr-CA"/>
              </w:rPr>
              <w:t>5 000 $</w:t>
            </w:r>
          </w:p>
        </w:tc>
      </w:tr>
      <w:tr w:rsidR="001242BA" w:rsidRPr="00AB00FE" w14:paraId="455F63C3" w14:textId="77777777" w:rsidTr="001242BA">
        <w:trPr>
          <w:trHeight w:val="260"/>
          <w:jc w:val="center"/>
        </w:trPr>
        <w:tc>
          <w:tcPr>
            <w:tcW w:w="3951" w:type="dxa"/>
            <w:shd w:val="clear" w:color="auto" w:fill="auto"/>
            <w:noWrap/>
            <w:vAlign w:val="center"/>
            <w:hideMark/>
          </w:tcPr>
          <w:p w14:paraId="585F1989" w14:textId="47523B83" w:rsidR="001242BA" w:rsidRPr="00AB00FE" w:rsidRDefault="001242BA" w:rsidP="006A1D32">
            <w:pPr>
              <w:rPr>
                <w:rFonts w:ascii="Arial" w:hAnsi="Arial" w:cs="Arial"/>
                <w:sz w:val="28"/>
                <w:szCs w:val="28"/>
              </w:rPr>
            </w:pPr>
            <w:r>
              <w:rPr>
                <w:rFonts w:ascii="Arial" w:hAnsi="Arial" w:cs="Arial"/>
                <w:sz w:val="28"/>
                <w:szCs w:val="28"/>
                <w:lang w:val="fr-CA"/>
              </w:rPr>
              <w:t xml:space="preserve">Équipement informatique </w:t>
            </w:r>
            <w:r w:rsidR="00FE1906">
              <w:rPr>
                <w:rFonts w:ascii="Arial" w:hAnsi="Arial" w:cs="Arial"/>
                <w:sz w:val="28"/>
                <w:szCs w:val="28"/>
                <w:lang w:val="fr-CA"/>
              </w:rPr>
              <w:t>et </w:t>
            </w:r>
            <w:r>
              <w:rPr>
                <w:rFonts w:ascii="Arial" w:hAnsi="Arial" w:cs="Arial"/>
                <w:sz w:val="28"/>
                <w:szCs w:val="28"/>
                <w:lang w:val="fr-CA"/>
              </w:rPr>
              <w:t>logiciels</w:t>
            </w:r>
          </w:p>
        </w:tc>
        <w:tc>
          <w:tcPr>
            <w:tcW w:w="2079" w:type="dxa"/>
            <w:shd w:val="clear" w:color="auto" w:fill="auto"/>
            <w:noWrap/>
            <w:vAlign w:val="center"/>
            <w:hideMark/>
          </w:tcPr>
          <w:p w14:paraId="53638C43" w14:textId="6E6B5E8D" w:rsidR="001242BA" w:rsidRPr="00AB00FE" w:rsidRDefault="001242BA" w:rsidP="00C6257C">
            <w:pPr>
              <w:jc w:val="center"/>
              <w:rPr>
                <w:rFonts w:ascii="Arial" w:hAnsi="Arial" w:cs="Arial"/>
                <w:sz w:val="28"/>
                <w:szCs w:val="28"/>
              </w:rPr>
            </w:pPr>
            <w:r>
              <w:rPr>
                <w:rFonts w:ascii="Arial" w:hAnsi="Arial" w:cs="Arial"/>
                <w:sz w:val="28"/>
                <w:szCs w:val="28"/>
                <w:lang w:val="fr-CA"/>
              </w:rPr>
              <w:t>3 000 $</w:t>
            </w:r>
          </w:p>
        </w:tc>
      </w:tr>
      <w:tr w:rsidR="001242BA" w:rsidRPr="00AB00FE" w14:paraId="632406EF" w14:textId="77777777" w:rsidTr="001242BA">
        <w:trPr>
          <w:trHeight w:val="260"/>
          <w:jc w:val="center"/>
        </w:trPr>
        <w:tc>
          <w:tcPr>
            <w:tcW w:w="3951" w:type="dxa"/>
            <w:shd w:val="clear" w:color="auto" w:fill="auto"/>
            <w:noWrap/>
            <w:vAlign w:val="center"/>
          </w:tcPr>
          <w:p w14:paraId="1819131B" w14:textId="0C782F29" w:rsidR="001242BA" w:rsidRPr="00AB00FE" w:rsidRDefault="001242BA" w:rsidP="006A1D32">
            <w:pPr>
              <w:rPr>
                <w:rFonts w:ascii="Arial" w:hAnsi="Arial" w:cs="Arial"/>
                <w:sz w:val="28"/>
                <w:szCs w:val="28"/>
              </w:rPr>
            </w:pPr>
            <w:r>
              <w:rPr>
                <w:rFonts w:ascii="Arial" w:hAnsi="Arial" w:cs="Arial"/>
                <w:sz w:val="28"/>
                <w:szCs w:val="28"/>
                <w:lang w:val="fr-CA"/>
              </w:rPr>
              <w:t>Autres dépenses</w:t>
            </w:r>
          </w:p>
        </w:tc>
        <w:tc>
          <w:tcPr>
            <w:tcW w:w="2079" w:type="dxa"/>
            <w:shd w:val="clear" w:color="auto" w:fill="auto"/>
            <w:noWrap/>
            <w:vAlign w:val="center"/>
          </w:tcPr>
          <w:p w14:paraId="14FEBC64" w14:textId="69063E10" w:rsidR="001242BA" w:rsidRPr="00AB00FE" w:rsidRDefault="001242BA" w:rsidP="00C6257C">
            <w:pPr>
              <w:jc w:val="center"/>
              <w:rPr>
                <w:rFonts w:ascii="Arial" w:hAnsi="Arial" w:cs="Arial"/>
                <w:sz w:val="28"/>
                <w:szCs w:val="28"/>
              </w:rPr>
            </w:pPr>
            <w:r>
              <w:rPr>
                <w:rFonts w:ascii="Arial" w:hAnsi="Arial" w:cs="Arial"/>
                <w:sz w:val="28"/>
                <w:szCs w:val="28"/>
                <w:lang w:val="fr-CA"/>
              </w:rPr>
              <w:t>97 000 $</w:t>
            </w:r>
          </w:p>
        </w:tc>
      </w:tr>
      <w:tr w:rsidR="001242BA" w:rsidRPr="00AB00FE" w14:paraId="02614A32" w14:textId="77777777" w:rsidTr="001242BA">
        <w:trPr>
          <w:trHeight w:val="260"/>
          <w:jc w:val="center"/>
        </w:trPr>
        <w:tc>
          <w:tcPr>
            <w:tcW w:w="3951" w:type="dxa"/>
            <w:shd w:val="clear" w:color="auto" w:fill="auto"/>
            <w:noWrap/>
            <w:vAlign w:val="center"/>
            <w:hideMark/>
          </w:tcPr>
          <w:p w14:paraId="7782F73E" w14:textId="38C1E7F5" w:rsidR="001242BA" w:rsidRPr="00AB00FE" w:rsidRDefault="001242BA" w:rsidP="006A1D32">
            <w:pPr>
              <w:rPr>
                <w:rFonts w:ascii="Arial" w:hAnsi="Arial" w:cs="Arial"/>
                <w:b/>
                <w:bCs/>
                <w:sz w:val="28"/>
                <w:szCs w:val="28"/>
              </w:rPr>
            </w:pPr>
            <w:r>
              <w:rPr>
                <w:rFonts w:ascii="Arial" w:hAnsi="Arial" w:cs="Arial"/>
                <w:b/>
                <w:bCs/>
                <w:sz w:val="28"/>
                <w:szCs w:val="28"/>
                <w:lang w:val="fr-CA"/>
              </w:rPr>
              <w:t xml:space="preserve">Total (fonctionnement </w:t>
            </w:r>
            <w:r w:rsidR="00FE1906">
              <w:rPr>
                <w:rFonts w:ascii="Arial" w:hAnsi="Arial" w:cs="Arial"/>
                <w:b/>
                <w:bCs/>
                <w:sz w:val="28"/>
                <w:szCs w:val="28"/>
                <w:lang w:val="fr-CA"/>
              </w:rPr>
              <w:t>et </w:t>
            </w:r>
            <w:r>
              <w:rPr>
                <w:rFonts w:ascii="Arial" w:hAnsi="Arial" w:cs="Arial"/>
                <w:b/>
                <w:bCs/>
                <w:sz w:val="28"/>
                <w:szCs w:val="28"/>
                <w:lang w:val="fr-CA"/>
              </w:rPr>
              <w:t>entretien)</w:t>
            </w:r>
          </w:p>
        </w:tc>
        <w:tc>
          <w:tcPr>
            <w:tcW w:w="2079" w:type="dxa"/>
            <w:shd w:val="clear" w:color="auto" w:fill="auto"/>
            <w:noWrap/>
            <w:vAlign w:val="center"/>
            <w:hideMark/>
          </w:tcPr>
          <w:p w14:paraId="765409B2" w14:textId="111D63E0" w:rsidR="001242BA" w:rsidRPr="00AB00FE" w:rsidRDefault="001242BA" w:rsidP="00C6257C">
            <w:pPr>
              <w:jc w:val="center"/>
              <w:rPr>
                <w:rFonts w:ascii="Arial" w:hAnsi="Arial" w:cs="Arial"/>
                <w:b/>
                <w:bCs/>
                <w:sz w:val="28"/>
                <w:szCs w:val="28"/>
              </w:rPr>
            </w:pPr>
            <w:r>
              <w:rPr>
                <w:rFonts w:ascii="Arial" w:hAnsi="Arial" w:cs="Arial"/>
                <w:b/>
                <w:bCs/>
                <w:sz w:val="28"/>
                <w:szCs w:val="28"/>
                <w:lang w:val="fr-CA"/>
              </w:rPr>
              <w:t>341 000 $</w:t>
            </w:r>
          </w:p>
        </w:tc>
      </w:tr>
      <w:bookmarkEnd w:id="0"/>
    </w:tbl>
    <w:p w14:paraId="696822D9" w14:textId="18BBED03" w:rsidR="00BE498B" w:rsidRPr="00AB00FE" w:rsidRDefault="00BE498B" w:rsidP="00BE498B">
      <w:pPr>
        <w:tabs>
          <w:tab w:val="left" w:pos="5040"/>
        </w:tabs>
        <w:spacing w:line="276" w:lineRule="auto"/>
        <w:jc w:val="both"/>
        <w:rPr>
          <w:rFonts w:ascii="Arial" w:eastAsia="Arial Unicode MS" w:hAnsi="Arial" w:cs="Arial"/>
        </w:rPr>
      </w:pPr>
    </w:p>
    <w:p w14:paraId="4AC59397" w14:textId="44009378" w:rsidR="009E3C80" w:rsidRPr="00AB00FE" w:rsidRDefault="009E3C80">
      <w:pPr>
        <w:rPr>
          <w:rFonts w:ascii="Arial" w:eastAsia="Arial Unicode MS" w:hAnsi="Arial" w:cs="Arial"/>
        </w:rPr>
      </w:pPr>
    </w:p>
    <w:p w14:paraId="7820AADB" w14:textId="77777777" w:rsidR="00677163" w:rsidRPr="00AB00FE" w:rsidRDefault="00677163" w:rsidP="00957BB7">
      <w:pPr>
        <w:rPr>
          <w:rFonts w:ascii="Arial" w:eastAsia="Arial Unicode MS" w:hAnsi="Arial" w:cs="Arial"/>
        </w:rPr>
      </w:pPr>
    </w:p>
    <w:p w14:paraId="5B0DD1FF" w14:textId="45176A45" w:rsidR="007E1048" w:rsidRPr="00AB00FE" w:rsidRDefault="00A30AC6" w:rsidP="00BE498B">
      <w:pPr>
        <w:numPr>
          <w:ilvl w:val="0"/>
          <w:numId w:val="1"/>
        </w:numPr>
        <w:tabs>
          <w:tab w:val="left" w:pos="5040"/>
        </w:tabs>
        <w:spacing w:line="276" w:lineRule="auto"/>
        <w:jc w:val="both"/>
        <w:rPr>
          <w:rFonts w:ascii="Arial" w:eastAsia="Arial Unicode MS" w:hAnsi="Arial" w:cs="Arial"/>
          <w:b/>
          <w:u w:val="single"/>
        </w:rPr>
      </w:pPr>
      <w:r>
        <w:rPr>
          <w:rFonts w:ascii="Arial" w:eastAsia="Arial Unicode MS" w:hAnsi="Arial" w:cs="Arial"/>
          <w:b/>
          <w:bCs/>
          <w:u w:val="single"/>
          <w:lang w:val="fr-CA"/>
        </w:rPr>
        <w:t>SOMMAIRE DES RECOMMANDATIONS DE 2022</w:t>
      </w:r>
      <w:r>
        <w:rPr>
          <w:rFonts w:ascii="Arial" w:eastAsia="Arial Unicode MS" w:hAnsi="Arial" w:cs="Arial"/>
          <w:b/>
          <w:bCs/>
          <w:lang w:val="fr-CA"/>
        </w:rPr>
        <w:t> :</w:t>
      </w:r>
    </w:p>
    <w:p w14:paraId="3C3E1B73" w14:textId="77777777" w:rsidR="00B73BD7" w:rsidRPr="00AB00FE" w:rsidRDefault="00B73BD7" w:rsidP="00BE498B">
      <w:pPr>
        <w:spacing w:line="360" w:lineRule="auto"/>
        <w:jc w:val="both"/>
        <w:rPr>
          <w:rFonts w:ascii="Arial" w:hAnsi="Arial" w:cs="Arial"/>
          <w:noProof/>
        </w:rPr>
      </w:pPr>
    </w:p>
    <w:p w14:paraId="35AFCF43" w14:textId="136F3BCA" w:rsidR="007B528A" w:rsidRPr="00AB00FE" w:rsidRDefault="00B73BD7" w:rsidP="00BE498B">
      <w:pPr>
        <w:spacing w:line="360" w:lineRule="auto"/>
        <w:jc w:val="both"/>
        <w:rPr>
          <w:rFonts w:ascii="Arial" w:hAnsi="Arial" w:cs="Arial"/>
        </w:rPr>
      </w:pPr>
      <w:r>
        <w:rPr>
          <w:rFonts w:ascii="Arial" w:hAnsi="Arial" w:cs="Arial"/>
          <w:lang w:val="fr-CA"/>
        </w:rPr>
        <w:t>Les recommandations suivantes ont été formulées concernant les tarifs visés par l’application des dispositions suivantes :</w:t>
      </w:r>
    </w:p>
    <w:p w14:paraId="2796045B" w14:textId="77777777" w:rsidR="00D82A00" w:rsidRPr="00AB00FE" w:rsidRDefault="00D82A00" w:rsidP="00BE498B">
      <w:pPr>
        <w:spacing w:line="360" w:lineRule="auto"/>
        <w:jc w:val="both"/>
        <w:rPr>
          <w:rFonts w:ascii="Arial" w:hAnsi="Arial" w:cs="Arial"/>
          <w:noProof/>
        </w:rPr>
      </w:pPr>
      <w:r>
        <w:rPr>
          <w:rFonts w:ascii="Arial" w:hAnsi="Arial" w:cs="Arial"/>
          <w:noProof/>
          <w:lang w:val="fr-CA"/>
        </w:rPr>
        <w:lastRenderedPageBreak/>
        <w:t xml:space="preserve">Selon l’article 13 (1) de la Loi : Le Conseil d’examen remet au ministre responsable un rapport dans lequel il formule l’une des recommandations suivantes : </w:t>
      </w:r>
    </w:p>
    <w:p w14:paraId="4131DB52" w14:textId="77777777" w:rsidR="00D82A00" w:rsidRPr="00AB00FE" w:rsidRDefault="00D82A00" w:rsidP="00BE498B">
      <w:pPr>
        <w:numPr>
          <w:ilvl w:val="0"/>
          <w:numId w:val="14"/>
        </w:numPr>
        <w:spacing w:line="360" w:lineRule="auto"/>
        <w:jc w:val="both"/>
        <w:rPr>
          <w:rFonts w:ascii="Arial" w:hAnsi="Arial" w:cs="Arial"/>
          <w:noProof/>
        </w:rPr>
      </w:pPr>
      <w:r>
        <w:rPr>
          <w:rFonts w:ascii="Arial" w:hAnsi="Arial" w:cs="Arial"/>
          <w:noProof/>
          <w:lang w:val="fr-CA"/>
        </w:rPr>
        <w:t>Que le taux ou tarif proposé soit approuvé;</w:t>
      </w:r>
    </w:p>
    <w:p w14:paraId="30B79E79" w14:textId="77777777" w:rsidR="00D82A00" w:rsidRPr="00AB00FE" w:rsidRDefault="00D82A00" w:rsidP="00BE498B">
      <w:pPr>
        <w:numPr>
          <w:ilvl w:val="0"/>
          <w:numId w:val="14"/>
        </w:numPr>
        <w:spacing w:line="360" w:lineRule="auto"/>
        <w:jc w:val="both"/>
        <w:rPr>
          <w:rFonts w:ascii="Arial" w:hAnsi="Arial" w:cs="Arial"/>
          <w:noProof/>
        </w:rPr>
      </w:pPr>
      <w:r>
        <w:rPr>
          <w:rFonts w:ascii="Arial" w:hAnsi="Arial" w:cs="Arial"/>
          <w:noProof/>
          <w:lang w:val="fr-CA"/>
        </w:rPr>
        <w:t>Que le taux ou tarif proposé ne soit pas approuvé;</w:t>
      </w:r>
    </w:p>
    <w:p w14:paraId="0F475EF4" w14:textId="5738852F" w:rsidR="00D82A00" w:rsidRPr="00AB00FE" w:rsidRDefault="00D82A00" w:rsidP="00BE498B">
      <w:pPr>
        <w:numPr>
          <w:ilvl w:val="0"/>
          <w:numId w:val="14"/>
        </w:numPr>
        <w:spacing w:line="360" w:lineRule="auto"/>
        <w:jc w:val="both"/>
        <w:rPr>
          <w:rFonts w:ascii="Arial" w:hAnsi="Arial" w:cs="Arial"/>
          <w:noProof/>
        </w:rPr>
      </w:pPr>
      <w:r>
        <w:rPr>
          <w:rFonts w:ascii="Arial" w:hAnsi="Arial" w:cs="Arial"/>
          <w:noProof/>
          <w:lang w:val="fr-CA"/>
        </w:rPr>
        <w:t>Qu’un autre taux ou tarif, qu’il précise dans son rapport, soit adopté.</w:t>
      </w:r>
    </w:p>
    <w:p w14:paraId="2E5A2FFF" w14:textId="2EB5B5A8" w:rsidR="00B03E27" w:rsidRPr="00AB00FE" w:rsidRDefault="00B03E27">
      <w:pPr>
        <w:rPr>
          <w:rFonts w:ascii="Arial" w:hAnsi="Arial" w:cs="Arial"/>
          <w:noProof/>
          <w:highlight w:val="yellow"/>
        </w:rPr>
      </w:pPr>
    </w:p>
    <w:p w14:paraId="24E6E192" w14:textId="46B8BE7D" w:rsidR="0078403F" w:rsidRPr="00AB00FE" w:rsidRDefault="003D3C0C">
      <w:pPr>
        <w:spacing w:line="360" w:lineRule="auto"/>
        <w:jc w:val="both"/>
        <w:rPr>
          <w:rFonts w:ascii="Arial" w:hAnsi="Arial" w:cs="Arial"/>
          <w:noProof/>
          <w:u w:val="single"/>
        </w:rPr>
      </w:pPr>
      <w:r>
        <w:rPr>
          <w:rFonts w:ascii="Arial" w:hAnsi="Arial" w:cs="Arial"/>
          <w:noProof/>
          <w:u w:val="single"/>
          <w:lang w:val="fr-CA"/>
        </w:rPr>
        <w:t>Rapport 2022-01 : Kugaaruk/Chesterfield Inlet concernant la construction de nouvelles centrales électriques</w:t>
      </w:r>
    </w:p>
    <w:p w14:paraId="3FDAC8DD" w14:textId="14DE79EC" w:rsidR="009E3C80" w:rsidRPr="00AB00FE" w:rsidRDefault="009E3C80" w:rsidP="009E3C80">
      <w:pPr>
        <w:pStyle w:val="ListParagraph"/>
        <w:widowControl w:val="0"/>
        <w:numPr>
          <w:ilvl w:val="0"/>
          <w:numId w:val="25"/>
        </w:numPr>
        <w:autoSpaceDE w:val="0"/>
        <w:autoSpaceDN w:val="0"/>
        <w:spacing w:after="120" w:line="360" w:lineRule="auto"/>
        <w:jc w:val="both"/>
        <w:rPr>
          <w:rFonts w:ascii="Arial" w:hAnsi="Arial" w:cs="Arial"/>
        </w:rPr>
      </w:pPr>
      <w:r>
        <w:rPr>
          <w:rFonts w:ascii="Arial" w:hAnsi="Arial" w:cs="Arial"/>
          <w:lang w:val="fr-CA"/>
        </w:rPr>
        <w:t xml:space="preserve">Conformément aux éléments susmentionnés, voici les recommandations du CETES : </w:t>
      </w:r>
    </w:p>
    <w:p w14:paraId="203C2734" w14:textId="19A1C612" w:rsidR="00AB00FE" w:rsidRPr="00AB00FE" w:rsidRDefault="00AB00FE" w:rsidP="00AB00FE">
      <w:pPr>
        <w:pStyle w:val="BodyText"/>
        <w:kinsoku w:val="0"/>
        <w:overflowPunct w:val="0"/>
        <w:spacing w:line="258" w:lineRule="exact"/>
        <w:ind w:left="39"/>
        <w:jc w:val="left"/>
        <w:rPr>
          <w:rFonts w:cs="Arial"/>
        </w:rPr>
      </w:pPr>
    </w:p>
    <w:p w14:paraId="3EB8BB80" w14:textId="77777777" w:rsidR="00AB00FE" w:rsidRPr="00AB00FE" w:rsidRDefault="00AB00FE" w:rsidP="00AB00FE">
      <w:pPr>
        <w:numPr>
          <w:ilvl w:val="0"/>
          <w:numId w:val="1"/>
        </w:numPr>
        <w:tabs>
          <w:tab w:val="left" w:pos="5040"/>
        </w:tabs>
        <w:spacing w:line="276" w:lineRule="auto"/>
        <w:jc w:val="both"/>
        <w:rPr>
          <w:rFonts w:ascii="Arial" w:eastAsia="Arial Unicode MS" w:hAnsi="Arial" w:cs="Arial"/>
          <w:b/>
          <w:u w:val="single"/>
        </w:rPr>
      </w:pPr>
      <w:r>
        <w:rPr>
          <w:rFonts w:ascii="Arial" w:eastAsia="Arial Unicode MS" w:hAnsi="Arial" w:cs="Arial"/>
          <w:b/>
          <w:bCs/>
          <w:u w:val="single"/>
          <w:lang w:val="fr-CA"/>
        </w:rPr>
        <w:t>Recommandations spécifiques au projet</w:t>
      </w:r>
    </w:p>
    <w:p w14:paraId="4FFDED86" w14:textId="77777777" w:rsidR="00AB00FE" w:rsidRPr="00AB00FE" w:rsidRDefault="00AB00FE" w:rsidP="00AB00FE">
      <w:pPr>
        <w:pStyle w:val="BodyText"/>
        <w:kinsoku w:val="0"/>
        <w:overflowPunct w:val="0"/>
        <w:spacing w:before="119" w:line="357" w:lineRule="auto"/>
        <w:ind w:left="39" w:right="495"/>
        <w:rPr>
          <w:rFonts w:cs="Arial"/>
        </w:rPr>
      </w:pPr>
      <w:r>
        <w:rPr>
          <w:rFonts w:cs="Arial"/>
          <w:lang w:val="fr-CA"/>
        </w:rPr>
        <w:t>Que les permis de grands projets d’immobilisations pour la construction de nouvelles centrales électriques à Chesterfield Inlet et à Kugaaruk soient approuvés sous réserve des recommandations suivantes :</w:t>
      </w:r>
    </w:p>
    <w:p w14:paraId="72B7CB81" w14:textId="11660FBB" w:rsidR="00AB00FE" w:rsidRPr="00AB00FE" w:rsidRDefault="00AB00FE" w:rsidP="006A1D32">
      <w:pPr>
        <w:pStyle w:val="ListParagraph"/>
        <w:numPr>
          <w:ilvl w:val="0"/>
          <w:numId w:val="30"/>
        </w:numPr>
        <w:tabs>
          <w:tab w:val="left" w:pos="1161"/>
        </w:tabs>
        <w:kinsoku w:val="0"/>
        <w:overflowPunct w:val="0"/>
        <w:autoSpaceDE w:val="0"/>
        <w:autoSpaceDN w:val="0"/>
        <w:adjustRightInd w:val="0"/>
        <w:spacing w:before="127" w:line="360" w:lineRule="auto"/>
        <w:ind w:left="39" w:right="489" w:hanging="39"/>
        <w:contextualSpacing w:val="0"/>
        <w:rPr>
          <w:rFonts w:ascii="Arial" w:hAnsi="Arial" w:cs="Arial"/>
        </w:rPr>
      </w:pPr>
      <w:r>
        <w:rPr>
          <w:rFonts w:ascii="Arial" w:hAnsi="Arial" w:cs="Arial"/>
          <w:lang w:val="fr-CA"/>
        </w:rPr>
        <w:t>Que la conception des projets à Chesterfield Inlet et à Kugaaruk devrait comprendre des sites, des bâtiments, des fondations et d’autres aspects de l’installation qui sont conçus pour durer 40 ans.</w:t>
      </w:r>
    </w:p>
    <w:p w14:paraId="77410875"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82" w:line="360" w:lineRule="auto"/>
        <w:ind w:left="0" w:right="223" w:firstLine="0"/>
        <w:contextualSpacing w:val="0"/>
        <w:jc w:val="both"/>
        <w:rPr>
          <w:rFonts w:ascii="Arial" w:hAnsi="Arial" w:cs="Arial"/>
        </w:rPr>
      </w:pPr>
      <w:r>
        <w:rPr>
          <w:rFonts w:ascii="Arial" w:hAnsi="Arial" w:cs="Arial"/>
          <w:lang w:val="fr-CA"/>
        </w:rPr>
        <w:t>Que la SÉQ soit mandatée, avant de finaliser la conception des centrales, d’élaborer et de soumettre, à l’intention de la ministre, des solutions de remplacement viables de centrales électriques qui répondent aux besoins de la collectivité en matière de capacité de production pendant les 10 à 12 premières années (la période suggérée par la SÉQ) et qui prévoient une augmentation de la puissance pendant la durée de vie des centrales.</w:t>
      </w:r>
    </w:p>
    <w:p w14:paraId="14EE77AD"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25" w:line="360" w:lineRule="auto"/>
        <w:ind w:left="0" w:right="492" w:firstLine="0"/>
        <w:contextualSpacing w:val="0"/>
        <w:jc w:val="both"/>
        <w:rPr>
          <w:rFonts w:ascii="Arial" w:hAnsi="Arial" w:cs="Arial"/>
        </w:rPr>
      </w:pPr>
      <w:r>
        <w:rPr>
          <w:rFonts w:ascii="Arial" w:hAnsi="Arial" w:cs="Arial"/>
          <w:lang w:val="fr-CA"/>
        </w:rPr>
        <w:t>Que si les coûts prévus après les appels d’offres dépassent de plus de 25 pour cent les coûts proposés pour Chesterfield Inlet (pour la solution de rechange approuvée par la ministre), que la SÉQ soit tenue de préparer et de soumettre une nouvelle DPPM au ministre responsable de la SÉQ.</w:t>
      </w:r>
    </w:p>
    <w:p w14:paraId="1B71F567"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20" w:line="360" w:lineRule="auto"/>
        <w:ind w:left="0" w:right="482" w:firstLine="0"/>
        <w:contextualSpacing w:val="0"/>
        <w:jc w:val="both"/>
        <w:rPr>
          <w:rFonts w:ascii="Arial" w:hAnsi="Arial" w:cs="Arial"/>
        </w:rPr>
      </w:pPr>
      <w:r>
        <w:rPr>
          <w:rFonts w:ascii="Arial" w:hAnsi="Arial" w:cs="Arial"/>
          <w:lang w:val="fr-CA"/>
        </w:rPr>
        <w:lastRenderedPageBreak/>
        <w:t>Que si les coûts prévus après les appels d’offres dépassent de plus de 25 pour cent les coûts proposés pour Kugaaruk (pour la solution de rechange approuvée par la ministre), que la SÉQ soit tenue d’élaborer et de soumettre une nouvelle DPPM au ministre responsable de la SÉQ.</w:t>
      </w:r>
    </w:p>
    <w:p w14:paraId="7DE023D1"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19" w:line="360" w:lineRule="auto"/>
        <w:ind w:left="0" w:right="494" w:firstLine="0"/>
        <w:contextualSpacing w:val="0"/>
        <w:jc w:val="both"/>
        <w:rPr>
          <w:rFonts w:ascii="Arial" w:hAnsi="Arial" w:cs="Arial"/>
        </w:rPr>
      </w:pPr>
      <w:r>
        <w:rPr>
          <w:rFonts w:ascii="Arial" w:hAnsi="Arial" w:cs="Arial"/>
          <w:lang w:val="fr-CA"/>
        </w:rPr>
        <w:t>Que la prudence du coût réel de chacun des projets soit évaluée au moment proposé pour les inclure dans la tarification de base.</w:t>
      </w:r>
    </w:p>
    <w:p w14:paraId="1ACAF9FF"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17" w:line="360" w:lineRule="auto"/>
        <w:ind w:left="0" w:right="493" w:firstLine="0"/>
        <w:contextualSpacing w:val="0"/>
        <w:jc w:val="both"/>
        <w:rPr>
          <w:rFonts w:ascii="Arial" w:hAnsi="Arial" w:cs="Arial"/>
        </w:rPr>
      </w:pPr>
      <w:r>
        <w:rPr>
          <w:rFonts w:ascii="Arial" w:hAnsi="Arial" w:cs="Arial"/>
          <w:lang w:val="fr-CA"/>
        </w:rPr>
        <w:t>Qu’au moment de la prochaine RMTG pertinente, la SÉQ apporte des précisions sur le retrait des actifs liés aux deux DPPM qui ne sont plus utilisées ou tenues d’être utilisées (p. ex., les groupes électrogènes, les bâtiments et l’équipement auxiliaire). Cela doit comprendre la mise hors service des actifs et le démantèlement et les coûts de l’opération d’assainissement associés.</w:t>
      </w:r>
    </w:p>
    <w:p w14:paraId="77E562DB" w14:textId="77777777" w:rsidR="00AB00FE" w:rsidRPr="00AB00FE" w:rsidRDefault="00AB00FE" w:rsidP="00AB00FE">
      <w:pPr>
        <w:pStyle w:val="BodyText"/>
        <w:kinsoku w:val="0"/>
        <w:overflowPunct w:val="0"/>
        <w:spacing w:before="5"/>
        <w:jc w:val="left"/>
        <w:rPr>
          <w:rFonts w:cs="Arial"/>
        </w:rPr>
      </w:pPr>
    </w:p>
    <w:p w14:paraId="360E66BE" w14:textId="77777777" w:rsidR="00AB00FE" w:rsidRPr="00AB00FE" w:rsidRDefault="00AB00FE" w:rsidP="00AB00FE">
      <w:pPr>
        <w:pStyle w:val="Heading1"/>
        <w:kinsoku w:val="0"/>
        <w:overflowPunct w:val="0"/>
        <w:rPr>
          <w:sz w:val="24"/>
          <w:szCs w:val="24"/>
          <w:u w:val="single"/>
        </w:rPr>
      </w:pPr>
      <w:r>
        <w:rPr>
          <w:sz w:val="24"/>
          <w:szCs w:val="24"/>
          <w:u w:val="single"/>
          <w:lang w:val="fr-CA"/>
        </w:rPr>
        <w:t>Recommandations générales</w:t>
      </w:r>
    </w:p>
    <w:p w14:paraId="6188522D"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19" w:line="360" w:lineRule="auto"/>
        <w:ind w:left="0" w:right="228"/>
        <w:contextualSpacing w:val="0"/>
        <w:jc w:val="both"/>
        <w:rPr>
          <w:rFonts w:ascii="Arial" w:hAnsi="Arial" w:cs="Arial"/>
        </w:rPr>
      </w:pPr>
      <w:r>
        <w:rPr>
          <w:rFonts w:ascii="Arial" w:hAnsi="Arial" w:cs="Arial"/>
          <w:lang w:val="fr-CA"/>
        </w:rPr>
        <w:t>Que la SÉQ fournisse des renseignements au CETES sur les plans, les coûts et le statut détaillés de l’opération d’assainissement des centrales électriques existantes, une évaluation de la responsabilité pouvant subsister pour tous les sites avec des problèmes de structure inacceptables après la mise hors service, et tous les plans de redistribution ou de réutilisation des groupes électrogènes dans la prochaine RMTG applicable.</w:t>
      </w:r>
    </w:p>
    <w:p w14:paraId="39CA577F" w14:textId="5C6E9768"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22" w:line="360" w:lineRule="auto"/>
        <w:ind w:left="0" w:right="230"/>
        <w:contextualSpacing w:val="0"/>
        <w:jc w:val="both"/>
        <w:rPr>
          <w:rFonts w:ascii="Arial" w:hAnsi="Arial" w:cs="Arial"/>
        </w:rPr>
      </w:pPr>
      <w:r>
        <w:rPr>
          <w:rFonts w:ascii="Arial" w:hAnsi="Arial" w:cs="Arial"/>
          <w:lang w:val="fr-CA"/>
        </w:rPr>
        <w:t>Les prochaines DPPM doivent fournir une évaluation des autres démarches et options possibles plutôt que de remplacer ou non (ce dernier point est toujours inacceptable et impossible en raison de la demande actuelle ou future). Par exemple, les futures demandes de centrales électriques peuvent être fondées sur des besoins prévus à long terme, mais elles peuvent offrir des démarches souples pour répondre aux besoins qui évoluent.</w:t>
      </w:r>
    </w:p>
    <w:p w14:paraId="228B873E" w14:textId="77777777" w:rsidR="00AB00FE" w:rsidRPr="00AB00FE" w:rsidRDefault="00AB00FE" w:rsidP="00AB00FE">
      <w:pPr>
        <w:pStyle w:val="BodyText"/>
        <w:kinsoku w:val="0"/>
        <w:overflowPunct w:val="0"/>
        <w:spacing w:before="6"/>
        <w:jc w:val="left"/>
        <w:rPr>
          <w:rFonts w:cs="Arial"/>
          <w:sz w:val="22"/>
          <w:szCs w:val="22"/>
        </w:rPr>
      </w:pPr>
    </w:p>
    <w:p w14:paraId="5DD022C6" w14:textId="77777777" w:rsidR="00AB00FE" w:rsidRPr="00AB00FE" w:rsidRDefault="00AB00FE" w:rsidP="00AB00FE">
      <w:pPr>
        <w:pStyle w:val="ListParagraph"/>
        <w:numPr>
          <w:ilvl w:val="0"/>
          <w:numId w:val="28"/>
        </w:numPr>
        <w:tabs>
          <w:tab w:val="left" w:pos="1161"/>
        </w:tabs>
        <w:kinsoku w:val="0"/>
        <w:overflowPunct w:val="0"/>
        <w:autoSpaceDE w:val="0"/>
        <w:autoSpaceDN w:val="0"/>
        <w:adjustRightInd w:val="0"/>
        <w:spacing w:line="360" w:lineRule="auto"/>
        <w:ind w:left="0" w:right="230"/>
        <w:contextualSpacing w:val="0"/>
        <w:jc w:val="both"/>
        <w:rPr>
          <w:rFonts w:ascii="Arial" w:hAnsi="Arial" w:cs="Arial"/>
        </w:rPr>
      </w:pPr>
      <w:r>
        <w:rPr>
          <w:rFonts w:ascii="Arial" w:hAnsi="Arial" w:cs="Arial"/>
          <w:lang w:val="fr-CA"/>
        </w:rPr>
        <w:lastRenderedPageBreak/>
        <w:t>Que si la SÉQ n’obtient pas le financement du programme du FEA, ou tout autre programme futur d’aide financière fédérale, comme indiqué dans la demande et les réponses aux DI que le ou la ministre donne instruction à la société de préparer et de soumettre une nouvelle DPPM à des fins d’approbation puisque la perte du financement serait considérée être un changement important.</w:t>
      </w:r>
    </w:p>
    <w:p w14:paraId="14D2EA30" w14:textId="77777777" w:rsidR="00AB00FE" w:rsidRPr="00AB00FE" w:rsidRDefault="00AB00FE" w:rsidP="00AB00FE">
      <w:pPr>
        <w:pStyle w:val="ListParagraph"/>
        <w:numPr>
          <w:ilvl w:val="0"/>
          <w:numId w:val="28"/>
        </w:numPr>
        <w:tabs>
          <w:tab w:val="left" w:pos="1161"/>
        </w:tabs>
        <w:kinsoku w:val="0"/>
        <w:overflowPunct w:val="0"/>
        <w:autoSpaceDE w:val="0"/>
        <w:autoSpaceDN w:val="0"/>
        <w:adjustRightInd w:val="0"/>
        <w:spacing w:before="121" w:line="360" w:lineRule="auto"/>
        <w:ind w:left="0" w:right="226"/>
        <w:contextualSpacing w:val="0"/>
        <w:jc w:val="both"/>
        <w:rPr>
          <w:rFonts w:ascii="Arial" w:hAnsi="Arial" w:cs="Arial"/>
        </w:rPr>
      </w:pPr>
      <w:r>
        <w:rPr>
          <w:rFonts w:ascii="Arial" w:hAnsi="Arial" w:cs="Arial"/>
          <w:lang w:val="fr-CA"/>
        </w:rPr>
        <w:t>Que la capacité de planifier et de réaliser simultanément six grands projets de la SÉQ soit évaluée par un tiers indépendant afin d’identifier et d’atténuer les zones de faiblesse ou de risque.</w:t>
      </w:r>
    </w:p>
    <w:p w14:paraId="0BD12E5B" w14:textId="6DACD318" w:rsidR="00AB00FE" w:rsidRPr="00AB00FE" w:rsidRDefault="00AB00FE" w:rsidP="00AB00FE">
      <w:pPr>
        <w:pStyle w:val="ListParagraph"/>
        <w:numPr>
          <w:ilvl w:val="0"/>
          <w:numId w:val="28"/>
        </w:numPr>
        <w:tabs>
          <w:tab w:val="left" w:pos="1161"/>
        </w:tabs>
        <w:kinsoku w:val="0"/>
        <w:overflowPunct w:val="0"/>
        <w:autoSpaceDE w:val="0"/>
        <w:autoSpaceDN w:val="0"/>
        <w:adjustRightInd w:val="0"/>
        <w:spacing w:before="118" w:line="360" w:lineRule="auto"/>
        <w:ind w:left="39" w:right="228"/>
        <w:contextualSpacing w:val="0"/>
        <w:rPr>
          <w:rFonts w:ascii="Arial" w:hAnsi="Arial" w:cs="Arial"/>
        </w:rPr>
      </w:pPr>
      <w:r>
        <w:rPr>
          <w:rFonts w:ascii="Arial" w:hAnsi="Arial" w:cs="Arial"/>
          <w:lang w:val="fr-CA"/>
        </w:rPr>
        <w:t>Que la SÉQ informe le ou la ministre de ses plans et des moments propices pour améliorer ou remplacer les centrales électriques des autres collectivités qui ont des centrales électriques de plus de 40 ans, ou dont l’installation présente des dommages structuraux, pour permettre d’évaluer correctement les possibilités de redistribution. Ces renseignements doivent aussi être fournis lors de la prochaine RMTG comme renseignements supplémentaires découlant de ces plans et évaluations.</w:t>
      </w:r>
    </w:p>
    <w:p w14:paraId="41FB2100" w14:textId="77777777" w:rsidR="00FF056B" w:rsidRPr="00AB00FE" w:rsidRDefault="00FF056B" w:rsidP="00FF056B">
      <w:pPr>
        <w:pStyle w:val="ListParagraph"/>
        <w:widowControl w:val="0"/>
        <w:autoSpaceDE w:val="0"/>
        <w:autoSpaceDN w:val="0"/>
        <w:spacing w:after="120" w:line="360" w:lineRule="auto"/>
        <w:ind w:left="360"/>
        <w:jc w:val="both"/>
        <w:rPr>
          <w:rFonts w:ascii="Arial" w:hAnsi="Arial" w:cs="Arial"/>
        </w:rPr>
      </w:pPr>
    </w:p>
    <w:p w14:paraId="1900070F" w14:textId="4887F05F" w:rsidR="009E3C80" w:rsidRPr="00AB00FE" w:rsidRDefault="003D3C0C" w:rsidP="001242BA">
      <w:pPr>
        <w:tabs>
          <w:tab w:val="center" w:pos="4680"/>
        </w:tabs>
        <w:spacing w:line="360" w:lineRule="auto"/>
        <w:jc w:val="both"/>
        <w:rPr>
          <w:rFonts w:ascii="Arial" w:hAnsi="Arial" w:cs="Arial"/>
        </w:rPr>
      </w:pPr>
      <w:r>
        <w:rPr>
          <w:rFonts w:ascii="Arial" w:hAnsi="Arial" w:cs="Arial"/>
          <w:noProof/>
          <w:u w:val="single"/>
          <w:lang w:val="fr-CA"/>
        </w:rPr>
        <w:t>Rapport 2022-02</w:t>
      </w:r>
      <w:r w:rsidR="003D02EF" w:rsidRPr="006A1D32">
        <w:rPr>
          <w:rFonts w:ascii="Arial" w:hAnsi="Arial" w:cs="Arial"/>
          <w:noProof/>
          <w:lang w:val="fr-CA"/>
        </w:rPr>
        <w:t>.</w:t>
      </w:r>
      <w:r>
        <w:rPr>
          <w:rFonts w:ascii="Arial" w:hAnsi="Arial" w:cs="Arial"/>
          <w:lang w:val="fr-CA"/>
        </w:rPr>
        <w:t xml:space="preserve"> Requête de majoration tarifaire générale (RMTG)</w:t>
      </w:r>
    </w:p>
    <w:p w14:paraId="15651682" w14:textId="77777777" w:rsidR="003D5228" w:rsidRPr="00AB00FE" w:rsidRDefault="003D5228" w:rsidP="003D5228">
      <w:pPr>
        <w:pStyle w:val="BodyText"/>
        <w:rPr>
          <w:rFonts w:cs="Arial"/>
        </w:rPr>
      </w:pPr>
    </w:p>
    <w:p w14:paraId="51407E36" w14:textId="0507C033" w:rsidR="003D5228" w:rsidRPr="00AB00FE" w:rsidRDefault="003D5228" w:rsidP="003D5228">
      <w:pPr>
        <w:pStyle w:val="BodyText"/>
        <w:rPr>
          <w:rFonts w:cs="Arial"/>
        </w:rPr>
      </w:pPr>
      <w:r>
        <w:rPr>
          <w:rFonts w:cs="Arial"/>
          <w:lang w:val="fr-CA"/>
        </w:rPr>
        <w:t xml:space="preserve">Voici les recommandations du CETES relativement à l’exercice de référence de la RMTG pour 2022-2023 : </w:t>
      </w:r>
    </w:p>
    <w:p w14:paraId="3236CE76" w14:textId="77777777" w:rsidR="003D5228" w:rsidRPr="00AB00FE" w:rsidRDefault="003D5228" w:rsidP="003D5228">
      <w:pPr>
        <w:pStyle w:val="BodyText"/>
        <w:rPr>
          <w:rFonts w:cs="Arial"/>
          <w:sz w:val="20"/>
        </w:rPr>
      </w:pPr>
    </w:p>
    <w:p w14:paraId="7B9B4D78" w14:textId="77777777" w:rsidR="003D5228" w:rsidRPr="00AB00FE" w:rsidRDefault="003D5228" w:rsidP="003D5228">
      <w:pPr>
        <w:pStyle w:val="BodyText"/>
        <w:keepNext/>
        <w:rPr>
          <w:rFonts w:cs="Arial"/>
          <w:b/>
          <w:bCs/>
        </w:rPr>
      </w:pPr>
      <w:r>
        <w:rPr>
          <w:rFonts w:cs="Arial"/>
          <w:b/>
          <w:bCs/>
          <w:lang w:val="fr-CA"/>
        </w:rPr>
        <w:t>Recommandations sur les besoins en revenus</w:t>
      </w:r>
    </w:p>
    <w:p w14:paraId="0FF7F52D" w14:textId="77777777" w:rsidR="003D5228" w:rsidRPr="00AB00FE" w:rsidRDefault="003D5228" w:rsidP="003D5228">
      <w:pPr>
        <w:pStyle w:val="ListParagraph"/>
        <w:spacing w:before="120" w:line="360" w:lineRule="auto"/>
        <w:ind w:left="0" w:right="259"/>
        <w:rPr>
          <w:rFonts w:ascii="Arial" w:hAnsi="Arial" w:cs="Arial"/>
        </w:rPr>
      </w:pPr>
      <w:r>
        <w:rPr>
          <w:rFonts w:ascii="Arial" w:hAnsi="Arial" w:cs="Arial"/>
          <w:lang w:val="fr-CA"/>
        </w:rPr>
        <w:t>Que les besoins en revenus prévus pour 2022-2023 de 144,015 millions de dollars soient approuvés sous réserve des recommandations suivantes :</w:t>
      </w:r>
    </w:p>
    <w:p w14:paraId="36856723" w14:textId="77777777" w:rsidR="003D5228" w:rsidRPr="00AB00FE" w:rsidRDefault="003D5228" w:rsidP="003D5228">
      <w:pPr>
        <w:pStyle w:val="ListParagraph"/>
        <w:numPr>
          <w:ilvl w:val="1"/>
          <w:numId w:val="26"/>
        </w:numPr>
        <w:autoSpaceDE w:val="0"/>
        <w:autoSpaceDN w:val="0"/>
        <w:spacing w:before="120" w:after="120" w:line="360" w:lineRule="auto"/>
        <w:ind w:left="360" w:right="-14"/>
        <w:contextualSpacing w:val="0"/>
        <w:jc w:val="both"/>
        <w:rPr>
          <w:rFonts w:ascii="Arial" w:hAnsi="Arial" w:cs="Arial"/>
        </w:rPr>
      </w:pPr>
      <w:r>
        <w:rPr>
          <w:rFonts w:ascii="Arial" w:hAnsi="Arial" w:cs="Arial"/>
          <w:lang w:val="fr-CA"/>
        </w:rPr>
        <w:t xml:space="preserve">Que la SÉQ ajuste sa méthode de prévision de l’efficience énergétique pour inclure l’efficience énergétique estimée des centrales électriques nouvelles ou substantiellement modifiées pour les trois premières années d’exploitation. Après la </w:t>
      </w:r>
      <w:r>
        <w:rPr>
          <w:rFonts w:ascii="Arial" w:hAnsi="Arial" w:cs="Arial"/>
          <w:lang w:val="fr-CA"/>
        </w:rPr>
        <w:lastRenderedPageBreak/>
        <w:t xml:space="preserve">période de trois ans, l’utilisation de la méthode de la moyenne pondérée sur trois ans serait raisonnable. </w:t>
      </w:r>
    </w:p>
    <w:p w14:paraId="36D26E80" w14:textId="77777777" w:rsidR="003D5228" w:rsidRPr="00AB00FE" w:rsidRDefault="003D5228" w:rsidP="003D5228">
      <w:pPr>
        <w:pStyle w:val="ListParagraph"/>
        <w:numPr>
          <w:ilvl w:val="1"/>
          <w:numId w:val="26"/>
        </w:numPr>
        <w:autoSpaceDE w:val="0"/>
        <w:autoSpaceDN w:val="0"/>
        <w:spacing w:before="120" w:line="360" w:lineRule="auto"/>
        <w:ind w:left="360" w:right="259"/>
        <w:contextualSpacing w:val="0"/>
        <w:jc w:val="both"/>
        <w:rPr>
          <w:rFonts w:ascii="Arial" w:hAnsi="Arial" w:cs="Arial"/>
        </w:rPr>
      </w:pPr>
      <w:r>
        <w:rPr>
          <w:rFonts w:ascii="Arial" w:hAnsi="Arial" w:cs="Arial"/>
          <w:lang w:val="fr-CA"/>
        </w:rPr>
        <w:t>Que la SÉQ estime les dépenses de restauration des sites en fonction des travaux qu’elle prévoit entreprendre au cours de l’exercice de référence.</w:t>
      </w:r>
    </w:p>
    <w:p w14:paraId="41E5F499" w14:textId="77777777" w:rsidR="003D5228" w:rsidRPr="00AB00FE" w:rsidRDefault="003D5228" w:rsidP="003D5228">
      <w:pPr>
        <w:ind w:left="360" w:right="259"/>
        <w:rPr>
          <w:rFonts w:ascii="Arial" w:hAnsi="Arial" w:cs="Arial"/>
        </w:rPr>
      </w:pPr>
    </w:p>
    <w:p w14:paraId="2DE57217" w14:textId="77777777" w:rsidR="003D5228" w:rsidRPr="00AB00FE" w:rsidRDefault="003D5228" w:rsidP="003D5228">
      <w:pPr>
        <w:pStyle w:val="BodyText"/>
        <w:keepNext/>
        <w:rPr>
          <w:rFonts w:cs="Arial"/>
          <w:b/>
          <w:bCs/>
        </w:rPr>
      </w:pPr>
      <w:r>
        <w:rPr>
          <w:rFonts w:cs="Arial"/>
          <w:b/>
          <w:bCs/>
          <w:lang w:val="fr-CA"/>
        </w:rPr>
        <w:t>Recommandations relatives à la conception tarifaire</w:t>
      </w:r>
    </w:p>
    <w:p w14:paraId="5656B465" w14:textId="77777777" w:rsidR="003D5228" w:rsidRPr="00AB00FE" w:rsidRDefault="003D5228" w:rsidP="003D5228">
      <w:pPr>
        <w:pStyle w:val="ListParagraph"/>
        <w:spacing w:before="120" w:line="360" w:lineRule="auto"/>
        <w:ind w:left="0" w:right="259"/>
        <w:rPr>
          <w:rFonts w:ascii="Arial" w:hAnsi="Arial" w:cs="Arial"/>
        </w:rPr>
      </w:pPr>
      <w:r>
        <w:rPr>
          <w:rFonts w:ascii="Arial" w:hAnsi="Arial" w:cs="Arial"/>
          <w:lang w:val="fr-CA"/>
        </w:rPr>
        <w:t>Que la transition vers des tarifs à l’échelle du Nunavut soit approuvée sous réserve des recommandations suivantes :</w:t>
      </w:r>
    </w:p>
    <w:p w14:paraId="575370F0" w14:textId="77777777" w:rsidR="003D5228" w:rsidRPr="00AB00FE" w:rsidRDefault="003D5228" w:rsidP="003D5228">
      <w:pPr>
        <w:pStyle w:val="ListParagraph"/>
        <w:numPr>
          <w:ilvl w:val="1"/>
          <w:numId w:val="26"/>
        </w:numPr>
        <w:autoSpaceDE w:val="0"/>
        <w:autoSpaceDN w:val="0"/>
        <w:spacing w:before="120" w:after="120" w:line="360" w:lineRule="auto"/>
        <w:ind w:left="360" w:right="-14"/>
        <w:contextualSpacing w:val="0"/>
        <w:jc w:val="both"/>
        <w:rPr>
          <w:rFonts w:ascii="Arial" w:hAnsi="Arial" w:cs="Arial"/>
        </w:rPr>
      </w:pPr>
      <w:r>
        <w:rPr>
          <w:rFonts w:ascii="Arial" w:hAnsi="Arial" w:cs="Arial"/>
          <w:lang w:val="fr-CA"/>
        </w:rPr>
        <w:t>Que les tarifs soient fixés de manière à percevoir 141,504 millions de dollars (c.-à-d. les besoins en revenus de 144,015 millions de dollars moins les revenus autres que ceux de l’électricité de 2,511 millions de dollars).</w:t>
      </w:r>
    </w:p>
    <w:p w14:paraId="372096C2" w14:textId="77777777" w:rsidR="003D5228" w:rsidRPr="00AB00FE" w:rsidRDefault="003D5228" w:rsidP="003D5228">
      <w:pPr>
        <w:pStyle w:val="ListParagraph"/>
        <w:numPr>
          <w:ilvl w:val="1"/>
          <w:numId w:val="26"/>
        </w:numPr>
        <w:autoSpaceDE w:val="0"/>
        <w:autoSpaceDN w:val="0"/>
        <w:spacing w:before="120" w:after="120" w:line="360" w:lineRule="auto"/>
        <w:ind w:left="360" w:right="-14"/>
        <w:contextualSpacing w:val="0"/>
        <w:jc w:val="both"/>
        <w:rPr>
          <w:rFonts w:ascii="Arial" w:hAnsi="Arial" w:cs="Arial"/>
        </w:rPr>
      </w:pPr>
      <w:r>
        <w:rPr>
          <w:rFonts w:ascii="Arial" w:hAnsi="Arial" w:cs="Arial"/>
          <w:lang w:val="fr-CA"/>
        </w:rPr>
        <w:t xml:space="preserve">Que la SÉQ fasse au moins un tiers du chemin vers la couverture complète des coûts et des revenus quant aux frais de demande et aux tarifs des clients. De la même manière que la SÉQ a limité les augmentations pour les clients non gouvernementaux à 5,1 %, le CETES recommande que la SÉQ augmente les frais de demande et les tarifs des clients de manière à limiter l’impact global sur la facturation à 5,1 % pour les classes tarifaires des clients non gouvernementaux. </w:t>
      </w:r>
    </w:p>
    <w:p w14:paraId="784455B5" w14:textId="77777777" w:rsidR="003D5228" w:rsidRPr="00AB00FE" w:rsidRDefault="003D5228" w:rsidP="003D5228">
      <w:pPr>
        <w:spacing w:before="120" w:after="120" w:line="360" w:lineRule="auto"/>
        <w:ind w:right="-14"/>
        <w:rPr>
          <w:rFonts w:ascii="Arial" w:hAnsi="Arial" w:cs="Arial"/>
        </w:rPr>
      </w:pPr>
    </w:p>
    <w:p w14:paraId="7098FAA9" w14:textId="77777777" w:rsidR="003D5228" w:rsidRPr="00AB00FE" w:rsidRDefault="003D5228" w:rsidP="003D5228">
      <w:pPr>
        <w:pStyle w:val="ListParagraph"/>
        <w:numPr>
          <w:ilvl w:val="1"/>
          <w:numId w:val="26"/>
        </w:numPr>
        <w:autoSpaceDE w:val="0"/>
        <w:autoSpaceDN w:val="0"/>
        <w:spacing w:before="120" w:line="360" w:lineRule="auto"/>
        <w:ind w:left="360" w:right="259"/>
        <w:contextualSpacing w:val="0"/>
        <w:jc w:val="both"/>
        <w:rPr>
          <w:rFonts w:ascii="Arial" w:hAnsi="Arial" w:cs="Arial"/>
        </w:rPr>
      </w:pPr>
      <w:r>
        <w:rPr>
          <w:rFonts w:ascii="Arial" w:hAnsi="Arial" w:cs="Arial"/>
          <w:lang w:val="fr-CA"/>
        </w:rPr>
        <w:t>Que la SÉQ crée des tarifs pour le client percepteur de taxes municipales et pour le client non percepteur de taxes municipales. Aux fins de la requête de majoration tarifaire générale, le ou les tarifs du client percepteur de taxes municipales pour la ville d’Iqaluit pourraient être déterminés de façon similaire au(x) tarif(s) non gouvernemental(aux).</w:t>
      </w:r>
    </w:p>
    <w:p w14:paraId="37D5139D" w14:textId="77777777" w:rsidR="003D5228" w:rsidRPr="00AB00FE" w:rsidRDefault="003D5228" w:rsidP="003D5228">
      <w:pPr>
        <w:pStyle w:val="ListParagraph"/>
        <w:numPr>
          <w:ilvl w:val="1"/>
          <w:numId w:val="26"/>
        </w:numPr>
        <w:autoSpaceDE w:val="0"/>
        <w:autoSpaceDN w:val="0"/>
        <w:spacing w:before="120" w:line="360" w:lineRule="auto"/>
        <w:ind w:left="360" w:right="259"/>
        <w:contextualSpacing w:val="0"/>
        <w:jc w:val="both"/>
        <w:rPr>
          <w:rFonts w:ascii="Arial" w:hAnsi="Arial" w:cs="Arial"/>
        </w:rPr>
      </w:pPr>
      <w:r>
        <w:rPr>
          <w:rFonts w:ascii="Arial" w:hAnsi="Arial" w:cs="Arial"/>
          <w:lang w:val="fr-CA"/>
        </w:rPr>
        <w:t xml:space="preserve">Le CETES recommande que le nouveau tarif du client percepteur de taxes municipales connaisse la même augmentation de 5,1 % que tous les autres clients non gouvernementaux. Le CETES recommande également que les tarifs des autres clients gouvernementaux et des clients non percepteurs de taxes </w:t>
      </w:r>
      <w:r>
        <w:rPr>
          <w:rFonts w:ascii="Arial" w:hAnsi="Arial" w:cs="Arial"/>
          <w:lang w:val="fr-CA"/>
        </w:rPr>
        <w:lastRenderedPageBreak/>
        <w:t xml:space="preserve">municipales soient ajustés afin de combler le manque à gagner qui résultera de la reclassification des clients gouvernementaux de la ville d’Iqaluit. </w:t>
      </w:r>
    </w:p>
    <w:p w14:paraId="045E4F5F" w14:textId="77777777" w:rsidR="003D5228" w:rsidRPr="00AB00FE" w:rsidRDefault="003D5228" w:rsidP="003D5228">
      <w:pPr>
        <w:pStyle w:val="ListParagraph"/>
        <w:numPr>
          <w:ilvl w:val="1"/>
          <w:numId w:val="26"/>
        </w:numPr>
        <w:autoSpaceDE w:val="0"/>
        <w:autoSpaceDN w:val="0"/>
        <w:spacing w:before="120" w:line="360" w:lineRule="auto"/>
        <w:ind w:left="360" w:right="259"/>
        <w:contextualSpacing w:val="0"/>
        <w:jc w:val="both"/>
        <w:rPr>
          <w:rFonts w:ascii="Arial" w:hAnsi="Arial" w:cs="Arial"/>
        </w:rPr>
      </w:pPr>
      <w:r>
        <w:rPr>
          <w:rFonts w:ascii="Arial" w:hAnsi="Arial" w:cs="Arial"/>
          <w:lang w:val="fr-CA"/>
        </w:rPr>
        <w:t>Que, dans le cas où la SÉQ ne crée pas de tarifs pour les clients percepteurs de taxes municipales et les clients non percepteurs de taxes municipales, le manque à gagner créé par la reclassification de la ville d’Iqaluit soit attribué à tous les autres comptes gouvernementaux selon la méthode proposée par la SÉQ.</w:t>
      </w:r>
    </w:p>
    <w:p w14:paraId="3117A11E" w14:textId="77777777" w:rsidR="003D5228" w:rsidRPr="00AB00FE" w:rsidRDefault="003D5228" w:rsidP="003D5228">
      <w:pPr>
        <w:pStyle w:val="ListParagraph"/>
        <w:numPr>
          <w:ilvl w:val="1"/>
          <w:numId w:val="26"/>
        </w:numPr>
        <w:autoSpaceDE w:val="0"/>
        <w:autoSpaceDN w:val="0"/>
        <w:spacing w:before="120" w:after="240" w:line="360" w:lineRule="auto"/>
        <w:ind w:left="360" w:right="259"/>
        <w:contextualSpacing w:val="0"/>
        <w:jc w:val="both"/>
        <w:rPr>
          <w:rFonts w:ascii="Arial" w:hAnsi="Arial" w:cs="Arial"/>
        </w:rPr>
      </w:pPr>
      <w:r>
        <w:rPr>
          <w:rFonts w:ascii="Arial" w:hAnsi="Arial" w:cs="Arial"/>
          <w:lang w:val="fr-CA"/>
        </w:rPr>
        <w:t>Que la SÉQ surveille les répercussions de la transition proposée vers des tarifs à l’échelle du Nunavut (y compris la reclassification des comptes de la ville d’Iqaluit) et qu’elle réévalue la situation en fonction de la réponse du gouvernement du Nunavut ou des changements apportés à la façon dont il finance les hameaux. De plus, si des résultats indésirables sont observés, la SÉQ présentera une demande pour remédier à ces impacts.</w:t>
      </w:r>
    </w:p>
    <w:p w14:paraId="099BDD89" w14:textId="77777777" w:rsidR="001242BA" w:rsidRPr="00AB00FE" w:rsidRDefault="001242BA" w:rsidP="009E3C80">
      <w:pPr>
        <w:widowControl w:val="0"/>
        <w:autoSpaceDE w:val="0"/>
        <w:autoSpaceDN w:val="0"/>
        <w:spacing w:before="1" w:line="360" w:lineRule="auto"/>
        <w:rPr>
          <w:rFonts w:ascii="Arial" w:hAnsi="Arial" w:cs="Arial"/>
        </w:rPr>
      </w:pPr>
    </w:p>
    <w:p w14:paraId="1CD521FE" w14:textId="42C52CCB" w:rsidR="001242BA" w:rsidRPr="00CA1F80" w:rsidRDefault="001242BA" w:rsidP="001242BA">
      <w:pPr>
        <w:tabs>
          <w:tab w:val="center" w:pos="4680"/>
        </w:tabs>
        <w:spacing w:line="360" w:lineRule="auto"/>
        <w:jc w:val="both"/>
        <w:rPr>
          <w:rFonts w:ascii="Arial" w:hAnsi="Arial" w:cs="Arial"/>
          <w:b/>
          <w:bCs/>
          <w:noProof/>
          <w:u w:val="single"/>
        </w:rPr>
      </w:pPr>
      <w:r>
        <w:rPr>
          <w:rFonts w:ascii="Arial" w:hAnsi="Arial" w:cs="Arial"/>
          <w:b/>
          <w:bCs/>
          <w:noProof/>
          <w:u w:val="single"/>
          <w:lang w:val="fr-CA"/>
        </w:rPr>
        <w:t xml:space="preserve">Rapport 2022-03 : Révision de la formule du taux de chaleur </w:t>
      </w:r>
    </w:p>
    <w:p w14:paraId="14239D23" w14:textId="77777777" w:rsidR="000B784F" w:rsidRPr="00AB00FE" w:rsidRDefault="000B784F" w:rsidP="00CA1F80">
      <w:pPr>
        <w:pStyle w:val="BodyText"/>
        <w:autoSpaceDE w:val="0"/>
        <w:autoSpaceDN w:val="0"/>
        <w:spacing w:after="120"/>
        <w:rPr>
          <w:rFonts w:cs="Arial"/>
        </w:rPr>
      </w:pPr>
      <w:r>
        <w:rPr>
          <w:rFonts w:cs="Arial"/>
          <w:lang w:val="fr-CA"/>
        </w:rPr>
        <w:t>Après l’examen des questions soulevées ci-dessus, le CETES formule la recommandation suivante :</w:t>
      </w:r>
    </w:p>
    <w:p w14:paraId="3550090E" w14:textId="77777777" w:rsidR="000B784F" w:rsidRPr="00AB00FE" w:rsidRDefault="000B784F" w:rsidP="00CA1F80">
      <w:pPr>
        <w:pStyle w:val="BodyText"/>
        <w:keepNext/>
        <w:spacing w:line="240" w:lineRule="auto"/>
        <w:rPr>
          <w:rFonts w:cs="Arial"/>
          <w:b/>
          <w:bCs/>
        </w:rPr>
      </w:pPr>
      <w:r>
        <w:rPr>
          <w:rFonts w:cs="Arial"/>
          <w:b/>
          <w:bCs/>
          <w:lang w:val="fr-CA"/>
        </w:rPr>
        <w:t>Révision de la formule du taux de chaleur</w:t>
      </w:r>
    </w:p>
    <w:p w14:paraId="494C691E" w14:textId="77777777" w:rsidR="00CA1F80" w:rsidRDefault="000B784F" w:rsidP="00015CC7">
      <w:pPr>
        <w:pStyle w:val="ListParagraph"/>
        <w:numPr>
          <w:ilvl w:val="0"/>
          <w:numId w:val="27"/>
        </w:numPr>
        <w:tabs>
          <w:tab w:val="left" w:pos="993"/>
        </w:tabs>
        <w:autoSpaceDE w:val="0"/>
        <w:autoSpaceDN w:val="0"/>
        <w:spacing w:before="120" w:line="360" w:lineRule="auto"/>
        <w:ind w:left="0" w:right="259" w:firstLine="0"/>
        <w:contextualSpacing w:val="0"/>
        <w:jc w:val="both"/>
        <w:rPr>
          <w:rFonts w:ascii="Arial" w:hAnsi="Arial" w:cs="Arial"/>
        </w:rPr>
      </w:pPr>
      <w:r>
        <w:rPr>
          <w:rFonts w:ascii="Arial" w:hAnsi="Arial" w:cs="Arial"/>
          <w:lang w:val="fr-CA"/>
        </w:rPr>
        <w:t>Le CETES recommande que la SÉQ réduise le facteur de coût utilisé dans la formule du taux de chaleur de 90 à 75 % à compter du 1</w:t>
      </w:r>
      <w:r>
        <w:rPr>
          <w:rFonts w:ascii="Arial" w:hAnsi="Arial" w:cs="Arial"/>
          <w:vertAlign w:val="superscript"/>
          <w:lang w:val="fr-CA"/>
        </w:rPr>
        <w:t>er</w:t>
      </w:r>
      <w:r>
        <w:rPr>
          <w:rFonts w:ascii="Arial" w:hAnsi="Arial" w:cs="Arial"/>
          <w:lang w:val="fr-CA"/>
        </w:rPr>
        <w:t xml:space="preserve"> décembre 2022. </w:t>
      </w:r>
    </w:p>
    <w:p w14:paraId="4D85791E" w14:textId="21238DE3" w:rsidR="000B784F" w:rsidRPr="00440E78" w:rsidRDefault="000B784F" w:rsidP="00015CC7">
      <w:pPr>
        <w:pStyle w:val="ListParagraph"/>
        <w:numPr>
          <w:ilvl w:val="0"/>
          <w:numId w:val="27"/>
        </w:numPr>
        <w:tabs>
          <w:tab w:val="left" w:pos="993"/>
        </w:tabs>
        <w:autoSpaceDE w:val="0"/>
        <w:autoSpaceDN w:val="0"/>
        <w:spacing w:before="120" w:line="360" w:lineRule="auto"/>
        <w:ind w:left="0" w:right="259" w:firstLine="0"/>
        <w:contextualSpacing w:val="0"/>
        <w:jc w:val="both"/>
        <w:rPr>
          <w:rFonts w:ascii="Arial" w:hAnsi="Arial" w:cs="Arial"/>
        </w:rPr>
      </w:pPr>
      <w:r>
        <w:rPr>
          <w:rFonts w:ascii="Arial" w:hAnsi="Arial" w:cs="Arial"/>
          <w:lang w:val="fr-CA"/>
        </w:rPr>
        <w:t>Le CETES recommande également que la SÉQ démontre (à l’aide d’une analyse de rentabilité) que tout nouveau projet d’installation de chauffage centralisé est rentable et qu’elle présente une demande au ministre si nécessaire.</w:t>
      </w:r>
    </w:p>
    <w:p w14:paraId="6C06EEFD" w14:textId="77777777" w:rsidR="003F7F40" w:rsidRPr="00CA1F80" w:rsidRDefault="003F7F40" w:rsidP="00440E78">
      <w:pPr>
        <w:pStyle w:val="ListParagraph"/>
        <w:tabs>
          <w:tab w:val="left" w:pos="993"/>
        </w:tabs>
        <w:autoSpaceDE w:val="0"/>
        <w:autoSpaceDN w:val="0"/>
        <w:spacing w:before="120" w:line="360" w:lineRule="auto"/>
        <w:ind w:left="0" w:right="259"/>
        <w:contextualSpacing w:val="0"/>
        <w:jc w:val="both"/>
        <w:rPr>
          <w:rFonts w:ascii="Arial" w:hAnsi="Arial" w:cs="Arial"/>
        </w:rPr>
      </w:pPr>
    </w:p>
    <w:p w14:paraId="14846112" w14:textId="77777777" w:rsidR="000B784F" w:rsidRPr="00CA1F80" w:rsidRDefault="000B784F" w:rsidP="00CA1F80">
      <w:pPr>
        <w:pStyle w:val="BodyText"/>
        <w:keepNext/>
        <w:keepLines/>
        <w:spacing w:line="240" w:lineRule="auto"/>
        <w:rPr>
          <w:rFonts w:cs="Arial"/>
          <w:b/>
          <w:bCs/>
          <w:u w:val="single"/>
        </w:rPr>
      </w:pPr>
      <w:r>
        <w:rPr>
          <w:rFonts w:cs="Arial"/>
          <w:b/>
          <w:bCs/>
          <w:u w:val="single"/>
          <w:lang w:val="fr-CA"/>
        </w:rPr>
        <w:lastRenderedPageBreak/>
        <w:t>RMTG futures et recommandations générales</w:t>
      </w:r>
    </w:p>
    <w:p w14:paraId="791D3EBA" w14:textId="77777777" w:rsidR="00CA1F80" w:rsidRPr="00AB00FE" w:rsidRDefault="00CA1F80" w:rsidP="00CA1F80">
      <w:pPr>
        <w:pStyle w:val="BodyText"/>
        <w:keepNext/>
        <w:keepLines/>
        <w:spacing w:line="240" w:lineRule="auto"/>
        <w:rPr>
          <w:rFonts w:cs="Arial"/>
          <w:b/>
          <w:bCs/>
        </w:rPr>
      </w:pPr>
    </w:p>
    <w:p w14:paraId="358CBBF8" w14:textId="77777777" w:rsidR="000B784F" w:rsidRPr="00AB00FE" w:rsidRDefault="000B784F" w:rsidP="00CA1F80">
      <w:pPr>
        <w:pStyle w:val="ListParagraph"/>
        <w:numPr>
          <w:ilvl w:val="1"/>
          <w:numId w:val="26"/>
        </w:numPr>
        <w:autoSpaceDE w:val="0"/>
        <w:autoSpaceDN w:val="0"/>
        <w:spacing w:after="120" w:line="360" w:lineRule="auto"/>
        <w:ind w:left="0" w:right="-10" w:firstLine="0"/>
        <w:contextualSpacing w:val="0"/>
        <w:jc w:val="both"/>
        <w:rPr>
          <w:rFonts w:ascii="Arial" w:hAnsi="Arial" w:cs="Arial"/>
        </w:rPr>
      </w:pPr>
      <w:r>
        <w:rPr>
          <w:rFonts w:ascii="Arial" w:hAnsi="Arial" w:cs="Arial"/>
          <w:lang w:val="fr-CA"/>
        </w:rPr>
        <w:t>Le CETES recommande que la SÉQ indique les montants liés à l’installation de chauffage centralisé ayant été exclus ou déduits de ses exigences en matière de revenus dans les RMTG futures.</w:t>
      </w:r>
    </w:p>
    <w:p w14:paraId="7313D70F" w14:textId="77777777" w:rsidR="000B784F" w:rsidRPr="00AB00FE" w:rsidRDefault="000B784F" w:rsidP="00CA1F80">
      <w:pPr>
        <w:pStyle w:val="ListParagraph"/>
        <w:numPr>
          <w:ilvl w:val="1"/>
          <w:numId w:val="26"/>
        </w:numPr>
        <w:autoSpaceDE w:val="0"/>
        <w:autoSpaceDN w:val="0"/>
        <w:spacing w:after="120" w:line="360" w:lineRule="auto"/>
        <w:ind w:left="0" w:right="-10" w:firstLine="0"/>
        <w:contextualSpacing w:val="0"/>
        <w:jc w:val="both"/>
        <w:rPr>
          <w:rFonts w:ascii="Arial" w:hAnsi="Arial" w:cs="Arial"/>
        </w:rPr>
      </w:pPr>
      <w:r>
        <w:rPr>
          <w:rFonts w:ascii="Arial" w:hAnsi="Arial" w:cs="Arial"/>
          <w:lang w:val="fr-CA"/>
        </w:rPr>
        <w:t>Le CETES recommande également que si les revenus de l’installation de chauffage centralisé ne dépassent pas les coûts associés aux activités de F et E, la SÉQ s’adresse au ministre si ses plans pour améliorer la situation nécessitent une modification de taux ou la dépense d’un capital suffisamment important pour susciter une demande.</w:t>
      </w:r>
    </w:p>
    <w:p w14:paraId="5B2E3C9B" w14:textId="77777777" w:rsidR="000B784F" w:rsidRPr="00AB00FE" w:rsidRDefault="000B784F" w:rsidP="00CA1F80">
      <w:pPr>
        <w:pStyle w:val="ListParagraph"/>
        <w:numPr>
          <w:ilvl w:val="1"/>
          <w:numId w:val="26"/>
        </w:numPr>
        <w:autoSpaceDE w:val="0"/>
        <w:autoSpaceDN w:val="0"/>
        <w:spacing w:after="120" w:line="360" w:lineRule="auto"/>
        <w:ind w:left="0" w:right="-10" w:firstLine="0"/>
        <w:contextualSpacing w:val="0"/>
        <w:jc w:val="both"/>
        <w:rPr>
          <w:rFonts w:ascii="Arial" w:hAnsi="Arial" w:cs="Arial"/>
        </w:rPr>
      </w:pPr>
      <w:r>
        <w:rPr>
          <w:rFonts w:ascii="Arial" w:hAnsi="Arial" w:cs="Arial"/>
          <w:lang w:val="fr-CA"/>
        </w:rPr>
        <w:t>Le CETES recommande enfin que la SÉQ présente une demande au ministre si les résultats de l’examen externe de l’installation de chauffage centralisé par une tierce partie nécessitent une modification de taux ou la dépense d’un capital suffisamment important pour susciter une demande.</w:t>
      </w:r>
    </w:p>
    <w:p w14:paraId="67D2BB45" w14:textId="77777777" w:rsidR="001242BA" w:rsidRPr="00AB00FE" w:rsidRDefault="001242BA" w:rsidP="00CA1F80">
      <w:pPr>
        <w:widowControl w:val="0"/>
        <w:autoSpaceDE w:val="0"/>
        <w:autoSpaceDN w:val="0"/>
        <w:spacing w:before="1" w:line="360" w:lineRule="auto"/>
        <w:rPr>
          <w:rFonts w:ascii="Arial" w:hAnsi="Arial" w:cs="Arial"/>
        </w:rPr>
      </w:pPr>
    </w:p>
    <w:p w14:paraId="031A239E" w14:textId="77777777" w:rsidR="001242BA" w:rsidRPr="00AB00FE" w:rsidRDefault="001242BA" w:rsidP="00CA1F80">
      <w:pPr>
        <w:widowControl w:val="0"/>
        <w:autoSpaceDE w:val="0"/>
        <w:autoSpaceDN w:val="0"/>
        <w:spacing w:before="1" w:line="360" w:lineRule="auto"/>
        <w:rPr>
          <w:rFonts w:ascii="Arial" w:hAnsi="Arial" w:cs="Arial"/>
        </w:rPr>
      </w:pPr>
    </w:p>
    <w:p w14:paraId="1D114329" w14:textId="1A672C45" w:rsidR="009E3C80" w:rsidRPr="00AB00FE" w:rsidRDefault="009E3C80" w:rsidP="00CA1F80">
      <w:pPr>
        <w:widowControl w:val="0"/>
        <w:autoSpaceDE w:val="0"/>
        <w:autoSpaceDN w:val="0"/>
        <w:spacing w:before="1" w:line="360" w:lineRule="auto"/>
        <w:rPr>
          <w:rFonts w:ascii="Arial" w:hAnsi="Arial" w:cs="Arial"/>
        </w:rPr>
      </w:pPr>
      <w:r>
        <w:rPr>
          <w:rFonts w:ascii="Arial" w:hAnsi="Arial" w:cs="Arial"/>
          <w:lang w:val="fr-CA"/>
        </w:rPr>
        <w:t>Veuillez noter que rien, dans ces rapports, ne porte atteinte à la capacité du CETES d’examiner d’autres questions ayant trait à la SÉQ.</w:t>
      </w:r>
    </w:p>
    <w:p w14:paraId="5CA7E0D0" w14:textId="77777777" w:rsidR="009E3C80" w:rsidRPr="00AB00FE" w:rsidRDefault="009E3C80" w:rsidP="00CA1F80">
      <w:pPr>
        <w:tabs>
          <w:tab w:val="center" w:pos="4680"/>
        </w:tabs>
        <w:spacing w:line="360" w:lineRule="auto"/>
        <w:jc w:val="both"/>
        <w:rPr>
          <w:rFonts w:ascii="Arial" w:hAnsi="Arial" w:cs="Arial"/>
          <w:noProof/>
          <w:highlight w:val="yellow"/>
        </w:rPr>
      </w:pPr>
    </w:p>
    <w:p w14:paraId="643053F6" w14:textId="5EBC1E29" w:rsidR="007F2159" w:rsidRPr="00AB00FE" w:rsidRDefault="007F2159" w:rsidP="00957BB7">
      <w:pPr>
        <w:widowControl w:val="0"/>
        <w:tabs>
          <w:tab w:val="left" w:pos="885"/>
        </w:tabs>
        <w:autoSpaceDE w:val="0"/>
        <w:autoSpaceDN w:val="0"/>
        <w:spacing w:before="90"/>
        <w:ind w:right="117"/>
        <w:jc w:val="both"/>
        <w:rPr>
          <w:rFonts w:ascii="Arial" w:eastAsia="Arial Unicode MS" w:hAnsi="Arial" w:cs="Arial"/>
          <w:b/>
          <w:caps/>
          <w:u w:val="single"/>
        </w:rPr>
      </w:pPr>
      <w:r>
        <w:rPr>
          <w:rFonts w:ascii="Arial" w:eastAsia="Arial Unicode MS" w:hAnsi="Arial" w:cs="Arial"/>
          <w:b/>
          <w:bCs/>
          <w:u w:val="single"/>
          <w:lang w:val="fr-CA"/>
        </w:rPr>
        <w:t xml:space="preserve">LES RÉGULATEURS EN ÉNERGIE ET DE SERVICES PUBLICS DU CANADA (CAMPUT) </w:t>
      </w:r>
      <w:r>
        <w:rPr>
          <w:rFonts w:ascii="Arial" w:eastAsia="Arial Unicode MS" w:hAnsi="Arial" w:cs="Arial"/>
          <w:b/>
          <w:bCs/>
          <w:caps/>
          <w:u w:val="single"/>
          <w:lang w:val="fr-CA"/>
        </w:rPr>
        <w:t>ET L’ÉDUCATION</w:t>
      </w:r>
    </w:p>
    <w:p w14:paraId="2D120013" w14:textId="77777777" w:rsidR="00C74AE5" w:rsidRPr="00AB00FE" w:rsidRDefault="00C74AE5" w:rsidP="00BE498B">
      <w:pPr>
        <w:spacing w:line="276" w:lineRule="auto"/>
        <w:jc w:val="both"/>
        <w:rPr>
          <w:rFonts w:ascii="Arial" w:eastAsia="Arial Unicode MS" w:hAnsi="Arial" w:cs="Arial"/>
          <w:b/>
          <w:u w:val="single"/>
        </w:rPr>
      </w:pPr>
    </w:p>
    <w:p w14:paraId="2699AE79" w14:textId="47930D12" w:rsidR="00452739" w:rsidRPr="00AB00FE" w:rsidRDefault="00452739" w:rsidP="00BE498B">
      <w:pPr>
        <w:tabs>
          <w:tab w:val="left" w:pos="360"/>
        </w:tabs>
        <w:spacing w:line="360" w:lineRule="auto"/>
        <w:jc w:val="both"/>
        <w:rPr>
          <w:rFonts w:ascii="Arial" w:eastAsia="Arial Unicode MS" w:hAnsi="Arial" w:cs="Arial"/>
        </w:rPr>
      </w:pPr>
      <w:r>
        <w:rPr>
          <w:rFonts w:ascii="Arial" w:eastAsia="Arial Unicode MS" w:hAnsi="Arial" w:cs="Arial"/>
          <w:lang w:val="fr-CA"/>
        </w:rPr>
        <w:t>L’Association canadienne des membres des tribunaux d’utilité publique (CAMPUT) est le régulateur canadien en matière d’énergie et de services publics. Il s’agit d’une organisation financièrement indépendante sans but lucratif composée de commissions et de régies fédérales, provinciales et territoriales. Ces commissions, conseils et régies sont responsables de la règlementation en matière de services d’électricité, d’eau, de gaz et d’entreprises pipelinières pour l’ensemble du Canada. Certains membres de CAMPUT sont aussi responsables d’autres types de règlementation, comme l’assurance automobile.</w:t>
      </w:r>
    </w:p>
    <w:p w14:paraId="70C71C10" w14:textId="77777777" w:rsidR="00452739" w:rsidRPr="00AB00FE" w:rsidRDefault="00452739" w:rsidP="00BE498B">
      <w:pPr>
        <w:tabs>
          <w:tab w:val="left" w:pos="360"/>
        </w:tabs>
        <w:spacing w:line="360" w:lineRule="auto"/>
        <w:jc w:val="both"/>
        <w:rPr>
          <w:rFonts w:ascii="Arial" w:eastAsia="Arial Unicode MS" w:hAnsi="Arial" w:cs="Arial"/>
        </w:rPr>
      </w:pPr>
    </w:p>
    <w:p w14:paraId="218C964A" w14:textId="32B76182" w:rsidR="00A50A6C" w:rsidRPr="00AB00FE" w:rsidRDefault="00BD48E0" w:rsidP="00BE498B">
      <w:pPr>
        <w:tabs>
          <w:tab w:val="left" w:pos="360"/>
        </w:tabs>
        <w:spacing w:line="360" w:lineRule="auto"/>
        <w:jc w:val="both"/>
        <w:rPr>
          <w:rFonts w:ascii="Arial" w:eastAsia="Arial Unicode MS" w:hAnsi="Arial" w:cs="Arial"/>
        </w:rPr>
      </w:pPr>
      <w:r>
        <w:rPr>
          <w:rFonts w:ascii="Arial" w:eastAsia="Arial Unicode MS" w:hAnsi="Arial" w:cs="Arial"/>
          <w:lang w:val="fr-CA"/>
        </w:rPr>
        <w:t xml:space="preserve">Le CETES a poursuivi son association avec CAMPUT. Les membres de CAMPUT sont les commissions et conseils des dix provinces et des trois territoires ainsi que l’Office national de l’énergie. CAMPUT a aussi intégré des organismes quasi judiciaires à titre de membres associés comme moyen de progresser vers son objectif d’améliorer de nombreux types de règlementation au Canada. </w:t>
      </w:r>
    </w:p>
    <w:p w14:paraId="296E4DC1" w14:textId="77777777" w:rsidR="00452739" w:rsidRPr="00AB00FE" w:rsidRDefault="00452739" w:rsidP="00BE498B">
      <w:pPr>
        <w:tabs>
          <w:tab w:val="left" w:pos="360"/>
        </w:tabs>
        <w:spacing w:line="360" w:lineRule="auto"/>
        <w:jc w:val="both"/>
        <w:rPr>
          <w:rFonts w:ascii="Arial" w:eastAsia="Arial Unicode MS" w:hAnsi="Arial" w:cs="Arial"/>
        </w:rPr>
      </w:pPr>
    </w:p>
    <w:p w14:paraId="07A9B9C9" w14:textId="54C5E338" w:rsidR="00634213" w:rsidRPr="00AB00FE" w:rsidRDefault="00634213" w:rsidP="00BE498B">
      <w:pPr>
        <w:tabs>
          <w:tab w:val="left" w:pos="360"/>
        </w:tabs>
        <w:spacing w:line="360" w:lineRule="auto"/>
        <w:jc w:val="both"/>
        <w:rPr>
          <w:rFonts w:ascii="Arial" w:eastAsia="Arial Unicode MS" w:hAnsi="Arial" w:cs="Arial"/>
        </w:rPr>
      </w:pPr>
      <w:r>
        <w:rPr>
          <w:rFonts w:ascii="Arial" w:eastAsia="Arial Unicode MS" w:hAnsi="Arial" w:cs="Arial"/>
          <w:lang w:val="fr-CA"/>
        </w:rPr>
        <w:t>Les conférences régulières, les assemblées générales annuelles et les activités de formation de CAMPUT offrent aux membres du CETES des occasions inestimables de bien s’informer et d’actualiser leurs connaissances dans ce domaine si dynamique et exigeant de la règlementation de l’énergie.</w:t>
      </w:r>
    </w:p>
    <w:p w14:paraId="5804E45A" w14:textId="77777777" w:rsidR="004E3168" w:rsidRPr="00AB00FE" w:rsidRDefault="004E3168" w:rsidP="00BE498B">
      <w:pPr>
        <w:tabs>
          <w:tab w:val="left" w:pos="360"/>
        </w:tabs>
        <w:spacing w:line="360" w:lineRule="auto"/>
        <w:jc w:val="both"/>
        <w:rPr>
          <w:rFonts w:ascii="Arial" w:eastAsia="Arial Unicode MS" w:hAnsi="Arial" w:cs="Arial"/>
        </w:rPr>
      </w:pPr>
    </w:p>
    <w:p w14:paraId="4EB9236A" w14:textId="75FB4853" w:rsidR="00452739" w:rsidRPr="00AB00FE" w:rsidRDefault="00634213" w:rsidP="00BE498B">
      <w:pPr>
        <w:tabs>
          <w:tab w:val="left" w:pos="360"/>
        </w:tabs>
        <w:spacing w:line="360" w:lineRule="auto"/>
        <w:jc w:val="both"/>
        <w:rPr>
          <w:rFonts w:ascii="Arial" w:eastAsia="Arial Unicode MS" w:hAnsi="Arial" w:cs="Arial"/>
        </w:rPr>
      </w:pPr>
      <w:r>
        <w:rPr>
          <w:rFonts w:ascii="Arial" w:eastAsia="Arial Unicode MS" w:hAnsi="Arial" w:cs="Arial"/>
          <w:lang w:val="fr-CA"/>
        </w:rPr>
        <w:t>Les membres du CETES font partie des comités de l’éducation et des affaires règlementaires de CAMPUT, auxquels ils participent activement. Dans le cadre de sa formation continue, le CETES envoie chaque année une personne pour le représenter aux divers évènements organisés par CAMPUT : Rencontres sur le thème de principaux enjeux règlementaires, en janvier; conférence internationale dans une province ou un territoire, en mai; assemblée générale annuelle. Toutes les réunions en 2022 se sont tenues à distance par Zoom.</w:t>
      </w:r>
    </w:p>
    <w:p w14:paraId="2F9087BB" w14:textId="77777777" w:rsidR="00C672F2" w:rsidRPr="00AB00FE" w:rsidRDefault="00C672F2" w:rsidP="00BE498B">
      <w:pPr>
        <w:tabs>
          <w:tab w:val="left" w:pos="360"/>
        </w:tabs>
        <w:spacing w:line="360" w:lineRule="auto"/>
        <w:jc w:val="both"/>
        <w:rPr>
          <w:rFonts w:ascii="Arial" w:eastAsia="Arial Unicode MS" w:hAnsi="Arial" w:cs="Arial"/>
        </w:rPr>
      </w:pPr>
      <w:r>
        <w:rPr>
          <w:rFonts w:ascii="Arial" w:eastAsia="Arial Unicode MS" w:hAnsi="Arial" w:cs="Arial"/>
          <w:lang w:val="fr-CA"/>
        </w:rPr>
        <w:t xml:space="preserve"> </w:t>
      </w:r>
    </w:p>
    <w:p w14:paraId="56B3CBD4" w14:textId="77777777" w:rsidR="00C3427D" w:rsidRPr="00AB00FE" w:rsidRDefault="007569F9" w:rsidP="00BE498B">
      <w:pPr>
        <w:tabs>
          <w:tab w:val="left" w:pos="360"/>
        </w:tabs>
        <w:spacing w:line="360" w:lineRule="auto"/>
        <w:jc w:val="both"/>
        <w:rPr>
          <w:rFonts w:ascii="Arial" w:eastAsia="Arial Unicode MS" w:hAnsi="Arial" w:cs="Arial"/>
          <w:vertAlign w:val="subscript"/>
        </w:rPr>
      </w:pPr>
      <w:r>
        <w:rPr>
          <w:rFonts w:ascii="Arial" w:eastAsia="Arial Unicode MS" w:hAnsi="Arial" w:cs="Arial"/>
          <w:lang w:val="fr-CA"/>
        </w:rPr>
        <w:t xml:space="preserve">Les rencontres de CAMPUT rassemblent des conseils membres de toutes les régions du Canada afin d’aborder les évènements et les enjeux qui touchent le domaine de la règlementation. </w:t>
      </w:r>
    </w:p>
    <w:p w14:paraId="4A9F5503" w14:textId="58F06A5E" w:rsidR="00CA1F80" w:rsidRDefault="00CA1F80">
      <w:pPr>
        <w:rPr>
          <w:rFonts w:ascii="Arial" w:eastAsia="Arial Unicode MS" w:hAnsi="Arial" w:cs="Arial"/>
        </w:rPr>
      </w:pPr>
      <w:r>
        <w:rPr>
          <w:rFonts w:ascii="Arial" w:eastAsia="Arial Unicode MS" w:hAnsi="Arial" w:cs="Arial"/>
          <w:lang w:val="fr-CA"/>
        </w:rPr>
        <w:br w:type="page"/>
      </w:r>
    </w:p>
    <w:p w14:paraId="1A2D834C" w14:textId="77777777" w:rsidR="00C3427D" w:rsidRPr="00AB00FE" w:rsidRDefault="00C3427D" w:rsidP="00BE498B">
      <w:pPr>
        <w:tabs>
          <w:tab w:val="left" w:pos="360"/>
        </w:tabs>
        <w:spacing w:line="360" w:lineRule="auto"/>
        <w:jc w:val="both"/>
        <w:rPr>
          <w:rFonts w:ascii="Arial" w:eastAsia="Arial Unicode MS" w:hAnsi="Arial" w:cs="Arial"/>
        </w:rPr>
      </w:pPr>
    </w:p>
    <w:p w14:paraId="4DEFC5F3" w14:textId="623BF841" w:rsidR="00B4673A" w:rsidRPr="00AB00FE" w:rsidRDefault="00B4673A" w:rsidP="00BE498B">
      <w:pPr>
        <w:numPr>
          <w:ilvl w:val="0"/>
          <w:numId w:val="1"/>
        </w:numPr>
        <w:spacing w:line="360" w:lineRule="auto"/>
        <w:jc w:val="both"/>
        <w:rPr>
          <w:rFonts w:ascii="Arial" w:eastAsia="Arial Unicode MS" w:hAnsi="Arial" w:cs="Arial"/>
          <w:u w:val="single"/>
        </w:rPr>
      </w:pPr>
      <w:r>
        <w:rPr>
          <w:rFonts w:ascii="Arial" w:eastAsia="Arial Unicode MS" w:hAnsi="Arial" w:cs="Arial"/>
          <w:b/>
          <w:bCs/>
          <w:u w:val="single"/>
          <w:lang w:val="fr-CA"/>
        </w:rPr>
        <w:t>PERSPECTIVES POUR 2023</w:t>
      </w:r>
    </w:p>
    <w:p w14:paraId="6DF80CCF" w14:textId="19268454" w:rsidR="00696AA1" w:rsidRPr="00AB00FE" w:rsidRDefault="00696AA1" w:rsidP="00BE498B">
      <w:pPr>
        <w:spacing w:line="360" w:lineRule="auto"/>
        <w:jc w:val="both"/>
        <w:rPr>
          <w:rFonts w:ascii="Arial" w:hAnsi="Arial" w:cs="Arial"/>
          <w:noProof/>
        </w:rPr>
      </w:pPr>
      <w:r>
        <w:rPr>
          <w:rFonts w:ascii="Arial" w:eastAsia="Arial Unicode MS" w:hAnsi="Arial" w:cs="Arial"/>
          <w:lang w:val="fr-CA"/>
        </w:rPr>
        <w:t xml:space="preserve">En 2023, </w:t>
      </w:r>
      <w:r w:rsidR="004F35D0">
        <w:rPr>
          <w:rFonts w:ascii="Arial" w:eastAsia="Arial Unicode MS" w:hAnsi="Arial" w:cs="Arial"/>
          <w:lang w:val="fr-CA"/>
        </w:rPr>
        <w:t xml:space="preserve">le </w:t>
      </w:r>
      <w:r>
        <w:rPr>
          <w:rFonts w:ascii="Arial" w:eastAsia="Arial Unicode MS" w:hAnsi="Arial" w:cs="Arial"/>
          <w:lang w:val="fr-CA"/>
        </w:rPr>
        <w:t xml:space="preserve">CETES continuera d’examiner et de formuler des recommandations concernant les demandes que pourrait lui faire parvenir le ministre responsable de la Société d’énergie Qulliq. </w:t>
      </w:r>
      <w:r w:rsidR="004F35D0">
        <w:rPr>
          <w:rFonts w:ascii="Arial" w:eastAsia="Arial Unicode MS" w:hAnsi="Arial" w:cs="Arial"/>
          <w:lang w:val="fr-CA"/>
        </w:rPr>
        <w:t xml:space="preserve">Le </w:t>
      </w:r>
      <w:r>
        <w:rPr>
          <w:rFonts w:ascii="Arial" w:eastAsia="Arial Unicode MS" w:hAnsi="Arial" w:cs="Arial"/>
          <w:lang w:val="fr-CA"/>
        </w:rPr>
        <w:t xml:space="preserve">CETES anticipe </w:t>
      </w:r>
      <w:bookmarkStart w:id="1" w:name="_Hlk83210013"/>
      <w:r>
        <w:rPr>
          <w:rFonts w:ascii="Arial" w:eastAsia="Arial Unicode MS" w:hAnsi="Arial" w:cs="Arial"/>
          <w:lang w:val="fr-CA"/>
        </w:rPr>
        <w:t>des demandes de la SÉQ concernant la mise à niveau ou le remplacement de centrales électriques, des modifications au programme de facturation nette et un taux de stabilisation du prix du combustible (FSR)</w:t>
      </w:r>
      <w:bookmarkEnd w:id="1"/>
      <w:r>
        <w:rPr>
          <w:rFonts w:ascii="Arial" w:eastAsia="Arial Unicode MS" w:hAnsi="Arial" w:cs="Arial"/>
          <w:lang w:val="fr-CA"/>
        </w:rPr>
        <w:t xml:space="preserve">. </w:t>
      </w:r>
    </w:p>
    <w:p w14:paraId="67F15B83" w14:textId="77777777" w:rsidR="00E32A39" w:rsidRPr="00AB00FE" w:rsidRDefault="00E32A39" w:rsidP="00BE498B">
      <w:pPr>
        <w:jc w:val="both"/>
        <w:rPr>
          <w:rFonts w:ascii="Arial" w:eastAsia="Arial Unicode MS" w:hAnsi="Arial" w:cs="Arial"/>
        </w:rPr>
      </w:pPr>
    </w:p>
    <w:p w14:paraId="3150A747" w14:textId="77777777" w:rsidR="00E32A39" w:rsidRPr="00AB00FE" w:rsidRDefault="00E32A39" w:rsidP="00BE498B">
      <w:pPr>
        <w:jc w:val="both"/>
        <w:rPr>
          <w:rFonts w:ascii="Arial" w:eastAsia="Arial Unicode MS" w:hAnsi="Arial" w:cs="Arial"/>
        </w:rPr>
      </w:pPr>
    </w:p>
    <w:p w14:paraId="7E2E1DD7" w14:textId="77777777" w:rsidR="00E32A39" w:rsidRPr="00AB00FE" w:rsidRDefault="00E32A39" w:rsidP="00BE498B">
      <w:pPr>
        <w:jc w:val="both"/>
        <w:rPr>
          <w:rFonts w:ascii="Arial" w:eastAsia="Arial Unicode MS" w:hAnsi="Arial" w:cs="Arial"/>
        </w:rPr>
      </w:pPr>
    </w:p>
    <w:p w14:paraId="4A3BB325" w14:textId="458F9B5B" w:rsidR="00E32A39" w:rsidRPr="00AB00FE" w:rsidRDefault="00E32A39" w:rsidP="00BE498B">
      <w:pPr>
        <w:jc w:val="both"/>
        <w:rPr>
          <w:rFonts w:ascii="Arial" w:eastAsia="Arial Unicode MS" w:hAnsi="Arial" w:cs="Arial"/>
        </w:rPr>
      </w:pPr>
    </w:p>
    <w:p w14:paraId="3147CB39" w14:textId="2A4C2964" w:rsidR="009E3C80" w:rsidRPr="00AB00FE" w:rsidRDefault="009E3C80" w:rsidP="00BE498B">
      <w:pPr>
        <w:jc w:val="both"/>
        <w:rPr>
          <w:rFonts w:ascii="Arial" w:eastAsia="Arial Unicode MS" w:hAnsi="Arial" w:cs="Arial"/>
        </w:rPr>
      </w:pPr>
    </w:p>
    <w:p w14:paraId="46DCB972" w14:textId="1CC31545" w:rsidR="009E3C80" w:rsidRPr="00AB00FE" w:rsidRDefault="009E3C80" w:rsidP="00BE498B">
      <w:pPr>
        <w:jc w:val="both"/>
        <w:rPr>
          <w:rFonts w:ascii="Arial" w:eastAsia="Arial Unicode MS" w:hAnsi="Arial" w:cs="Arial"/>
        </w:rPr>
      </w:pPr>
    </w:p>
    <w:p w14:paraId="0313BD28" w14:textId="274C46C7" w:rsidR="009E3C80" w:rsidRPr="00AB00FE" w:rsidRDefault="009E3C80" w:rsidP="00BE498B">
      <w:pPr>
        <w:jc w:val="both"/>
        <w:rPr>
          <w:rFonts w:ascii="Arial" w:eastAsia="Arial Unicode MS" w:hAnsi="Arial" w:cs="Arial"/>
        </w:rPr>
      </w:pPr>
    </w:p>
    <w:p w14:paraId="34441052" w14:textId="77777777" w:rsidR="009E3C80" w:rsidRPr="00AB00FE" w:rsidRDefault="009E3C80" w:rsidP="00BE498B">
      <w:pPr>
        <w:jc w:val="both"/>
        <w:rPr>
          <w:rFonts w:ascii="Arial" w:eastAsia="Arial Unicode MS" w:hAnsi="Arial" w:cs="Arial"/>
        </w:rPr>
      </w:pPr>
    </w:p>
    <w:p w14:paraId="6F547DF6" w14:textId="77777777" w:rsidR="00E0379F" w:rsidRPr="00AB00FE" w:rsidRDefault="00E0379F" w:rsidP="00BE498B">
      <w:pPr>
        <w:jc w:val="both"/>
        <w:rPr>
          <w:rFonts w:ascii="Arial" w:eastAsia="Arial Unicode MS" w:hAnsi="Arial" w:cs="Arial"/>
        </w:rPr>
      </w:pPr>
    </w:p>
    <w:p w14:paraId="1771394F" w14:textId="75AF3E37" w:rsidR="00B4673A" w:rsidRPr="00AB00FE" w:rsidRDefault="00DB21D6" w:rsidP="00BE498B">
      <w:pPr>
        <w:jc w:val="both"/>
        <w:rPr>
          <w:rFonts w:ascii="Arial" w:eastAsia="Arial Unicode MS" w:hAnsi="Arial" w:cs="Arial"/>
          <w:b/>
          <w:sz w:val="28"/>
          <w:szCs w:val="28"/>
        </w:rPr>
      </w:pPr>
      <w:r>
        <w:rPr>
          <w:rFonts w:ascii="Arial" w:eastAsia="Arial Unicode MS" w:hAnsi="Arial" w:cs="Arial"/>
          <w:b/>
          <w:bCs/>
          <w:sz w:val="28"/>
          <w:szCs w:val="28"/>
          <w:lang w:val="fr-CA"/>
        </w:rPr>
        <w:t xml:space="preserve">AU NOM DU CONSEIL D’EXAMEN DES TAUX DES ENTREPRISES </w:t>
      </w:r>
      <w:r w:rsidR="00BC4875">
        <w:rPr>
          <w:rFonts w:ascii="Arial" w:eastAsia="Arial Unicode MS" w:hAnsi="Arial" w:cs="Arial"/>
          <w:b/>
          <w:bCs/>
          <w:sz w:val="28"/>
          <w:szCs w:val="28"/>
          <w:lang w:val="fr-CA"/>
        </w:rPr>
        <w:t>DE </w:t>
      </w:r>
      <w:r>
        <w:rPr>
          <w:rFonts w:ascii="Arial" w:eastAsia="Arial Unicode MS" w:hAnsi="Arial" w:cs="Arial"/>
          <w:b/>
          <w:bCs/>
          <w:sz w:val="28"/>
          <w:szCs w:val="28"/>
          <w:lang w:val="fr-CA"/>
        </w:rPr>
        <w:t>SERVICE DU NUNAVUT</w:t>
      </w:r>
    </w:p>
    <w:p w14:paraId="6DB057C0" w14:textId="77777777" w:rsidR="00B70520" w:rsidRPr="00AB00FE" w:rsidRDefault="00B70520" w:rsidP="00BE498B">
      <w:pPr>
        <w:tabs>
          <w:tab w:val="left" w:pos="360"/>
        </w:tabs>
        <w:spacing w:line="276" w:lineRule="auto"/>
        <w:jc w:val="both"/>
        <w:rPr>
          <w:rFonts w:ascii="Arial" w:eastAsia="Arial Unicode MS" w:hAnsi="Arial" w:cs="Arial"/>
          <w:sz w:val="28"/>
          <w:szCs w:val="28"/>
        </w:rPr>
      </w:pPr>
    </w:p>
    <w:p w14:paraId="2123489A" w14:textId="35CAFD38" w:rsidR="00E059D9" w:rsidRPr="00AB00FE" w:rsidRDefault="00E059D9" w:rsidP="00BE498B">
      <w:pPr>
        <w:tabs>
          <w:tab w:val="left" w:pos="360"/>
        </w:tabs>
        <w:spacing w:line="276" w:lineRule="auto"/>
        <w:jc w:val="both"/>
        <w:rPr>
          <w:rFonts w:ascii="Arial" w:eastAsia="Arial Unicode MS" w:hAnsi="Arial" w:cs="Arial"/>
          <w:noProof/>
          <w:sz w:val="28"/>
          <w:szCs w:val="28"/>
        </w:rPr>
      </w:pPr>
    </w:p>
    <w:p w14:paraId="47610BC2" w14:textId="5E717A48" w:rsidR="000E2A7C" w:rsidRPr="00AB00FE" w:rsidRDefault="00C72420" w:rsidP="00BE498B">
      <w:pPr>
        <w:tabs>
          <w:tab w:val="left" w:pos="360"/>
        </w:tabs>
        <w:spacing w:line="276" w:lineRule="auto"/>
        <w:jc w:val="both"/>
        <w:rPr>
          <w:rFonts w:ascii="Arial" w:eastAsia="Arial Unicode MS" w:hAnsi="Arial" w:cs="Arial"/>
          <w:noProof/>
          <w:sz w:val="28"/>
          <w:szCs w:val="28"/>
        </w:rPr>
      </w:pPr>
      <w:r>
        <w:rPr>
          <w:rFonts w:ascii="Arial" w:eastAsia="Arial Unicode MS" w:hAnsi="Arial" w:cs="Arial"/>
          <w:noProof/>
          <w:sz w:val="28"/>
          <w:szCs w:val="28"/>
          <w:lang w:val="fr-CA"/>
        </w:rPr>
        <w:drawing>
          <wp:inline distT="0" distB="0" distL="0" distR="0" wp14:anchorId="426D135E" wp14:editId="4F121A3A">
            <wp:extent cx="3263900" cy="825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3900" cy="825500"/>
                    </a:xfrm>
                    <a:prstGeom prst="rect">
                      <a:avLst/>
                    </a:prstGeom>
                  </pic:spPr>
                </pic:pic>
              </a:graphicData>
            </a:graphic>
          </wp:inline>
        </w:drawing>
      </w:r>
    </w:p>
    <w:p w14:paraId="68D82BE3" w14:textId="77777777" w:rsidR="000E2A7C" w:rsidRPr="00AB00FE" w:rsidRDefault="000E2A7C" w:rsidP="00BE498B">
      <w:pPr>
        <w:tabs>
          <w:tab w:val="left" w:pos="360"/>
        </w:tabs>
        <w:spacing w:line="276" w:lineRule="auto"/>
        <w:jc w:val="both"/>
        <w:rPr>
          <w:rFonts w:ascii="Arial" w:eastAsia="Arial Unicode MS" w:hAnsi="Arial" w:cs="Arial"/>
          <w:sz w:val="28"/>
          <w:szCs w:val="28"/>
        </w:rPr>
      </w:pPr>
    </w:p>
    <w:p w14:paraId="13DD21BB" w14:textId="77777777" w:rsidR="0060128C" w:rsidRPr="00AB00FE" w:rsidRDefault="0060128C" w:rsidP="00BE498B">
      <w:pPr>
        <w:tabs>
          <w:tab w:val="left" w:pos="360"/>
          <w:tab w:val="left" w:pos="4320"/>
        </w:tabs>
        <w:spacing w:line="276" w:lineRule="auto"/>
        <w:jc w:val="both"/>
        <w:rPr>
          <w:rFonts w:ascii="Arial" w:eastAsia="Arial Unicode MS" w:hAnsi="Arial" w:cs="Arial"/>
          <w:sz w:val="28"/>
          <w:szCs w:val="28"/>
          <w:u w:val="single"/>
        </w:rPr>
      </w:pPr>
      <w:r>
        <w:rPr>
          <w:rFonts w:ascii="Arial" w:eastAsia="Arial Unicode MS" w:hAnsi="Arial" w:cs="Arial"/>
          <w:sz w:val="28"/>
          <w:szCs w:val="28"/>
          <w:u w:val="single"/>
          <w:lang w:val="fr-CA"/>
        </w:rPr>
        <w:t>______________________</w:t>
      </w:r>
    </w:p>
    <w:p w14:paraId="2563C240" w14:textId="13E192F7" w:rsidR="00B4673A" w:rsidRPr="00AB00FE" w:rsidRDefault="00B4673A" w:rsidP="00BE498B">
      <w:pPr>
        <w:tabs>
          <w:tab w:val="left" w:pos="360"/>
          <w:tab w:val="left" w:pos="4320"/>
        </w:tabs>
        <w:spacing w:line="276" w:lineRule="auto"/>
        <w:jc w:val="both"/>
        <w:rPr>
          <w:rFonts w:ascii="Arial" w:eastAsia="Arial Unicode MS" w:hAnsi="Arial" w:cs="Arial"/>
          <w:sz w:val="28"/>
          <w:szCs w:val="28"/>
          <w:u w:val="single"/>
        </w:rPr>
      </w:pPr>
      <w:r>
        <w:rPr>
          <w:rFonts w:ascii="Arial" w:eastAsia="Arial Unicode MS" w:hAnsi="Arial" w:cs="Arial"/>
          <w:b/>
          <w:bCs/>
          <w:sz w:val="28"/>
          <w:szCs w:val="28"/>
          <w:lang w:val="fr-CA"/>
        </w:rPr>
        <w:t>DATE : 12 avril 2023</w:t>
      </w:r>
    </w:p>
    <w:p w14:paraId="7F1FD761" w14:textId="58CF6F0D" w:rsidR="003D5D09" w:rsidRPr="00AB00FE" w:rsidRDefault="001242BA" w:rsidP="00BE498B">
      <w:pPr>
        <w:tabs>
          <w:tab w:val="left" w:pos="-3060"/>
          <w:tab w:val="left" w:pos="360"/>
        </w:tabs>
        <w:spacing w:line="276" w:lineRule="auto"/>
        <w:jc w:val="both"/>
        <w:rPr>
          <w:rFonts w:ascii="Arial" w:eastAsia="Arial Unicode MS" w:hAnsi="Arial" w:cs="Arial"/>
          <w:b/>
          <w:sz w:val="28"/>
          <w:szCs w:val="28"/>
        </w:rPr>
      </w:pPr>
      <w:r>
        <w:rPr>
          <w:rFonts w:ascii="Arial" w:eastAsia="Arial Unicode MS" w:hAnsi="Arial" w:cs="Arial"/>
          <w:b/>
          <w:bCs/>
          <w:sz w:val="28"/>
          <w:szCs w:val="28"/>
          <w:lang w:val="fr-CA"/>
        </w:rPr>
        <w:t>Monica Ell-Kanayuk, présidente</w:t>
      </w:r>
    </w:p>
    <w:sectPr w:rsidR="003D5D09" w:rsidRPr="00AB00FE" w:rsidSect="00E761BA">
      <w:headerReference w:type="default" r:id="rId10"/>
      <w:footerReference w:type="default" r:id="rId11"/>
      <w:pgSz w:w="12240" w:h="15840"/>
      <w:pgMar w:top="1296" w:right="1440" w:bottom="1079"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19F4" w14:textId="77777777" w:rsidR="00847A34" w:rsidRDefault="00847A34">
      <w:r>
        <w:separator/>
      </w:r>
    </w:p>
  </w:endnote>
  <w:endnote w:type="continuationSeparator" w:id="0">
    <w:p w14:paraId="39380B4D" w14:textId="77777777" w:rsidR="00847A34" w:rsidRDefault="0084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FE30" w14:textId="77777777" w:rsidR="0028301E" w:rsidRDefault="0028301E" w:rsidP="00F33DD7">
    <w:pPr>
      <w:pStyle w:val="Header"/>
      <w:jc w:val="center"/>
      <w:rPr>
        <w:rFonts w:ascii="Arial" w:hAnsi="Arial" w:cs="Arial"/>
        <w:sz w:val="20"/>
        <w:szCs w:val="20"/>
      </w:rPr>
    </w:pPr>
  </w:p>
  <w:p w14:paraId="26114D28" w14:textId="5EF2AA8E" w:rsidR="0028301E" w:rsidRPr="006E2E14" w:rsidRDefault="00DB21D6" w:rsidP="00F33DD7">
    <w:pPr>
      <w:pStyle w:val="Header"/>
      <w:jc w:val="center"/>
      <w:rPr>
        <w:rFonts w:ascii="Broadway" w:hAnsi="Broadway" w:cs="Arial"/>
      </w:rPr>
    </w:pPr>
    <w:r>
      <w:rPr>
        <w:rFonts w:ascii="Broadway" w:hAnsi="Broadway" w:cs="Arial"/>
        <w:lang w:val="fr-CA"/>
      </w:rPr>
      <w:t xml:space="preserve">Rapport annuel 2022 du Conseil d’examen des taux des entreprises </w:t>
    </w:r>
    <w:r w:rsidR="00910A55">
      <w:rPr>
        <w:rFonts w:ascii="Broadway" w:hAnsi="Broadway" w:cs="Arial"/>
        <w:lang w:val="fr-CA"/>
      </w:rPr>
      <w:t>de </w:t>
    </w:r>
    <w:r>
      <w:rPr>
        <w:rFonts w:ascii="Broadway" w:hAnsi="Broadway" w:cs="Arial"/>
        <w:lang w:val="fr-CA"/>
      </w:rPr>
      <w:t>service du Nunavut</w:t>
    </w:r>
  </w:p>
  <w:p w14:paraId="00C9C995" w14:textId="77777777" w:rsidR="0028301E" w:rsidRPr="006E2E14" w:rsidRDefault="0028301E" w:rsidP="00F33DD7">
    <w:pPr>
      <w:pStyle w:val="Header"/>
      <w:jc w:val="center"/>
      <w:rPr>
        <w:rFonts w:ascii="Broadway" w:hAnsi="Broadway" w:cs="Arial"/>
      </w:rPr>
    </w:pPr>
  </w:p>
  <w:p w14:paraId="584708A2" w14:textId="77777777" w:rsidR="0028301E" w:rsidRPr="006E2E14" w:rsidRDefault="0028301E" w:rsidP="00F33DD7">
    <w:pPr>
      <w:pStyle w:val="Header"/>
      <w:jc w:val="center"/>
      <w:rPr>
        <w:rFonts w:ascii="Broadway" w:hAnsi="Broadway" w:cs="Arial"/>
      </w:rPr>
    </w:pPr>
    <w:r>
      <w:rPr>
        <w:rFonts w:ascii="Broadway" w:hAnsi="Broadway" w:cs="Arial"/>
        <w:color w:val="7F7F7F" w:themeColor="background1" w:themeShade="7F"/>
        <w:lang w:val="fr-CA"/>
      </w:rPr>
      <w:t>Page</w:t>
    </w:r>
    <w:r>
      <w:rPr>
        <w:rFonts w:ascii="Broadway" w:hAnsi="Broadway" w:cs="Arial"/>
        <w:lang w:val="fr-CA"/>
      </w:rPr>
      <w:t xml:space="preserve"> </w:t>
    </w:r>
    <w:r>
      <w:rPr>
        <w:rFonts w:ascii="Broadway" w:hAnsi="Broadway" w:cs="Arial"/>
        <w:lang w:val="fr-CA"/>
      </w:rPr>
      <w:fldChar w:fldCharType="begin"/>
    </w:r>
    <w:r>
      <w:rPr>
        <w:rFonts w:ascii="Broadway" w:hAnsi="Broadway" w:cs="Arial"/>
        <w:lang w:val="fr-CA"/>
      </w:rPr>
      <w:instrText xml:space="preserve"> PAGE   \* MERGEFORMAT </w:instrText>
    </w:r>
    <w:r>
      <w:rPr>
        <w:rFonts w:ascii="Broadway" w:hAnsi="Broadway" w:cs="Arial"/>
        <w:lang w:val="fr-CA"/>
      </w:rPr>
      <w:fldChar w:fldCharType="separate"/>
    </w:r>
    <w:r>
      <w:rPr>
        <w:rFonts w:ascii="Broadway" w:hAnsi="Broadway" w:cs="Arial"/>
        <w:b/>
        <w:bCs/>
        <w:noProof/>
        <w:lang w:val="fr-CA"/>
      </w:rPr>
      <w:t>4</w:t>
    </w:r>
    <w:r>
      <w:rPr>
        <w:rFonts w:ascii="Broadway" w:hAnsi="Broadway" w:cs="Arial"/>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FED2D" w14:textId="77777777" w:rsidR="00847A34" w:rsidRDefault="00847A34">
      <w:r>
        <w:separator/>
      </w:r>
    </w:p>
  </w:footnote>
  <w:footnote w:type="continuationSeparator" w:id="0">
    <w:p w14:paraId="248DFF7D" w14:textId="77777777" w:rsidR="00847A34" w:rsidRDefault="00847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7A48" w14:textId="7E5FA7ED" w:rsidR="0028301E" w:rsidRDefault="0028301E" w:rsidP="00944242">
    <w:pPr>
      <w:pStyle w:val="Header"/>
      <w:jc w:val="center"/>
    </w:pPr>
    <w:r>
      <w:rPr>
        <w:noProof/>
        <w:lang w:val="fr-CA"/>
      </w:rPr>
      <w:drawing>
        <wp:inline distT="0" distB="0" distL="0" distR="0" wp14:anchorId="106ABE41" wp14:editId="6A118865">
          <wp:extent cx="3937000" cy="825500"/>
          <wp:effectExtent l="19050" t="0" r="6350" b="0"/>
          <wp:docPr id="3" name="Picture 3"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CCLogo"/>
                  <pic:cNvPicPr>
                    <a:picLocks noChangeAspect="1" noChangeArrowheads="1"/>
                  </pic:cNvPicPr>
                </pic:nvPicPr>
                <pic:blipFill>
                  <a:blip r:embed="rId1"/>
                  <a:srcRect/>
                  <a:stretch>
                    <a:fillRect/>
                  </a:stretch>
                </pic:blipFill>
                <pic:spPr bwMode="auto">
                  <a:xfrm>
                    <a:off x="0" y="0"/>
                    <a:ext cx="3937000" cy="825500"/>
                  </a:xfrm>
                  <a:prstGeom prst="rect">
                    <a:avLst/>
                  </a:prstGeom>
                  <a:noFill/>
                  <a:ln w="9525">
                    <a:noFill/>
                    <a:miter lim="800000"/>
                    <a:headEnd/>
                    <a:tailEnd/>
                  </a:ln>
                </pic:spPr>
              </pic:pic>
            </a:graphicData>
          </a:graphic>
        </wp:inline>
      </w:drawing>
    </w:r>
  </w:p>
  <w:p w14:paraId="604DFB8A" w14:textId="77777777" w:rsidR="0028301E" w:rsidRDefault="0028301E" w:rsidP="0094424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1.9pt" o:bullet="t">
        <v:imagedata r:id="rId1" o:title="mso5E45"/>
      </v:shape>
    </w:pict>
  </w:numPicBullet>
  <w:abstractNum w:abstractNumId="0" w15:restartNumberingAfterBreak="0">
    <w:nsid w:val="00000402"/>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1" w15:restartNumberingAfterBreak="0">
    <w:nsid w:val="00000403"/>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2" w15:restartNumberingAfterBreak="0">
    <w:nsid w:val="00000404"/>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3" w15:restartNumberingAfterBreak="0">
    <w:nsid w:val="04224790"/>
    <w:multiLevelType w:val="hybridMultilevel"/>
    <w:tmpl w:val="FBF21FF0"/>
    <w:lvl w:ilvl="0" w:tplc="0409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DF2001"/>
    <w:multiLevelType w:val="multilevel"/>
    <w:tmpl w:val="316A256C"/>
    <w:lvl w:ilvl="0">
      <w:start w:val="1"/>
      <w:numFmt w:val="decimal"/>
      <w:lvlText w:val="%1"/>
      <w:lvlJc w:val="left"/>
      <w:pPr>
        <w:ind w:left="819" w:hanging="720"/>
      </w:pPr>
      <w:rPr>
        <w:rFonts w:hint="default"/>
      </w:rPr>
    </w:lvl>
    <w:lvl w:ilvl="1">
      <w:numFmt w:val="decimal"/>
      <w:lvlText w:val="%1.%2"/>
      <w:lvlJc w:val="left"/>
      <w:pPr>
        <w:ind w:left="819" w:hanging="720"/>
      </w:pPr>
      <w:rPr>
        <w:rFonts w:ascii="Times New Roman" w:eastAsia="Times New Roman" w:hAnsi="Times New Roman" w:cs="Times New Roman" w:hint="default"/>
        <w:b/>
        <w:bCs/>
        <w:spacing w:val="-1"/>
        <w:w w:val="100"/>
        <w:sz w:val="28"/>
        <w:szCs w:val="28"/>
      </w:rPr>
    </w:lvl>
    <w:lvl w:ilvl="2">
      <w:start w:val="1"/>
      <w:numFmt w:val="decimal"/>
      <w:lvlText w:val="%3."/>
      <w:lvlJc w:val="left"/>
      <w:pPr>
        <w:ind w:left="884" w:hanging="360"/>
      </w:pPr>
      <w:rPr>
        <w:rFonts w:ascii="Times New Roman" w:eastAsia="Times New Roman" w:hAnsi="Times New Roman" w:cs="Times New Roman" w:hint="default"/>
        <w:spacing w:val="-8"/>
        <w:w w:val="99"/>
        <w:sz w:val="24"/>
        <w:szCs w:val="24"/>
      </w:rPr>
    </w:lvl>
    <w:lvl w:ilvl="3">
      <w:start w:val="1"/>
      <w:numFmt w:val="lowerLetter"/>
      <w:lvlText w:val="%4."/>
      <w:lvlJc w:val="left"/>
      <w:pPr>
        <w:ind w:left="1540" w:hanging="276"/>
      </w:pPr>
      <w:rPr>
        <w:rFonts w:ascii="Times New Roman" w:eastAsia="Times New Roman" w:hAnsi="Times New Roman" w:cs="Times New Roman" w:hint="default"/>
        <w:spacing w:val="-13"/>
        <w:w w:val="99"/>
        <w:sz w:val="24"/>
        <w:szCs w:val="24"/>
      </w:rPr>
    </w:lvl>
    <w:lvl w:ilvl="4">
      <w:numFmt w:val="bullet"/>
      <w:lvlText w:val="•"/>
      <w:lvlJc w:val="left"/>
      <w:pPr>
        <w:ind w:left="3550" w:hanging="276"/>
      </w:pPr>
      <w:rPr>
        <w:rFonts w:hint="default"/>
      </w:rPr>
    </w:lvl>
    <w:lvl w:ilvl="5">
      <w:numFmt w:val="bullet"/>
      <w:lvlText w:val="•"/>
      <w:lvlJc w:val="left"/>
      <w:pPr>
        <w:ind w:left="4555" w:hanging="276"/>
      </w:pPr>
      <w:rPr>
        <w:rFonts w:hint="default"/>
      </w:rPr>
    </w:lvl>
    <w:lvl w:ilvl="6">
      <w:numFmt w:val="bullet"/>
      <w:lvlText w:val="•"/>
      <w:lvlJc w:val="left"/>
      <w:pPr>
        <w:ind w:left="5560" w:hanging="276"/>
      </w:pPr>
      <w:rPr>
        <w:rFonts w:hint="default"/>
      </w:rPr>
    </w:lvl>
    <w:lvl w:ilvl="7">
      <w:numFmt w:val="bullet"/>
      <w:lvlText w:val="•"/>
      <w:lvlJc w:val="left"/>
      <w:pPr>
        <w:ind w:left="6565" w:hanging="276"/>
      </w:pPr>
      <w:rPr>
        <w:rFonts w:hint="default"/>
      </w:rPr>
    </w:lvl>
    <w:lvl w:ilvl="8">
      <w:numFmt w:val="bullet"/>
      <w:lvlText w:val="•"/>
      <w:lvlJc w:val="left"/>
      <w:pPr>
        <w:ind w:left="7570" w:hanging="276"/>
      </w:pPr>
      <w:rPr>
        <w:rFonts w:hint="default"/>
      </w:rPr>
    </w:lvl>
  </w:abstractNum>
  <w:abstractNum w:abstractNumId="5" w15:restartNumberingAfterBreak="0">
    <w:nsid w:val="09C91B90"/>
    <w:multiLevelType w:val="hybridMultilevel"/>
    <w:tmpl w:val="DAE6228E"/>
    <w:lvl w:ilvl="0" w:tplc="10090001">
      <w:start w:val="1"/>
      <w:numFmt w:val="bullet"/>
      <w:lvlText w:val=""/>
      <w:lvlJc w:val="left"/>
      <w:pPr>
        <w:ind w:left="360" w:hanging="360"/>
      </w:pPr>
      <w:rPr>
        <w:rFonts w:ascii="Symbol" w:hAnsi="Symbol" w:hint="default"/>
        <w:sz w:val="28"/>
        <w:szCs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BD64AE7"/>
    <w:multiLevelType w:val="hybridMultilevel"/>
    <w:tmpl w:val="90F69C1E"/>
    <w:lvl w:ilvl="0" w:tplc="CBC87570">
      <w:numFmt w:val="bullet"/>
      <w:lvlText w:val="●"/>
      <w:lvlJc w:val="left"/>
      <w:pPr>
        <w:ind w:left="1180" w:hanging="360"/>
      </w:pPr>
      <w:rPr>
        <w:rFonts w:ascii="Times New Roman" w:eastAsia="Times New Roman" w:hAnsi="Times New Roman" w:cs="Times New Roman" w:hint="default"/>
        <w:spacing w:val="-29"/>
        <w:w w:val="99"/>
        <w:sz w:val="24"/>
        <w:szCs w:val="24"/>
      </w:rPr>
    </w:lvl>
    <w:lvl w:ilvl="1" w:tplc="CEEE011E">
      <w:numFmt w:val="bullet"/>
      <w:lvlText w:val="•"/>
      <w:lvlJc w:val="left"/>
      <w:pPr>
        <w:ind w:left="2020" w:hanging="360"/>
      </w:pPr>
      <w:rPr>
        <w:rFonts w:hint="default"/>
      </w:rPr>
    </w:lvl>
    <w:lvl w:ilvl="2" w:tplc="49DCD43C">
      <w:numFmt w:val="bullet"/>
      <w:lvlText w:val="•"/>
      <w:lvlJc w:val="left"/>
      <w:pPr>
        <w:ind w:left="2860" w:hanging="360"/>
      </w:pPr>
      <w:rPr>
        <w:rFonts w:hint="default"/>
      </w:rPr>
    </w:lvl>
    <w:lvl w:ilvl="3" w:tplc="7AF6ADD0">
      <w:numFmt w:val="bullet"/>
      <w:lvlText w:val="•"/>
      <w:lvlJc w:val="left"/>
      <w:pPr>
        <w:ind w:left="3700" w:hanging="360"/>
      </w:pPr>
      <w:rPr>
        <w:rFonts w:hint="default"/>
      </w:rPr>
    </w:lvl>
    <w:lvl w:ilvl="4" w:tplc="85C412F0">
      <w:numFmt w:val="bullet"/>
      <w:lvlText w:val="•"/>
      <w:lvlJc w:val="left"/>
      <w:pPr>
        <w:ind w:left="4540" w:hanging="360"/>
      </w:pPr>
      <w:rPr>
        <w:rFonts w:hint="default"/>
      </w:rPr>
    </w:lvl>
    <w:lvl w:ilvl="5" w:tplc="C02CD52C">
      <w:numFmt w:val="bullet"/>
      <w:lvlText w:val="•"/>
      <w:lvlJc w:val="left"/>
      <w:pPr>
        <w:ind w:left="5380" w:hanging="360"/>
      </w:pPr>
      <w:rPr>
        <w:rFonts w:hint="default"/>
      </w:rPr>
    </w:lvl>
    <w:lvl w:ilvl="6" w:tplc="B9B4DA7C">
      <w:numFmt w:val="bullet"/>
      <w:lvlText w:val="•"/>
      <w:lvlJc w:val="left"/>
      <w:pPr>
        <w:ind w:left="6220" w:hanging="360"/>
      </w:pPr>
      <w:rPr>
        <w:rFonts w:hint="default"/>
      </w:rPr>
    </w:lvl>
    <w:lvl w:ilvl="7" w:tplc="79B45C64">
      <w:numFmt w:val="bullet"/>
      <w:lvlText w:val="•"/>
      <w:lvlJc w:val="left"/>
      <w:pPr>
        <w:ind w:left="7060" w:hanging="360"/>
      </w:pPr>
      <w:rPr>
        <w:rFonts w:hint="default"/>
      </w:rPr>
    </w:lvl>
    <w:lvl w:ilvl="8" w:tplc="C9903A82">
      <w:numFmt w:val="bullet"/>
      <w:lvlText w:val="•"/>
      <w:lvlJc w:val="left"/>
      <w:pPr>
        <w:ind w:left="7900" w:hanging="360"/>
      </w:pPr>
      <w:rPr>
        <w:rFonts w:hint="default"/>
      </w:rPr>
    </w:lvl>
  </w:abstractNum>
  <w:abstractNum w:abstractNumId="7" w15:restartNumberingAfterBreak="0">
    <w:nsid w:val="16F0335E"/>
    <w:multiLevelType w:val="hybridMultilevel"/>
    <w:tmpl w:val="906AB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71027C"/>
    <w:multiLevelType w:val="hybridMultilevel"/>
    <w:tmpl w:val="FC8C3D28"/>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902A54"/>
    <w:multiLevelType w:val="hybridMultilevel"/>
    <w:tmpl w:val="45EE39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730177"/>
    <w:multiLevelType w:val="hybridMultilevel"/>
    <w:tmpl w:val="73723EBA"/>
    <w:lvl w:ilvl="0" w:tplc="0576D3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5C91884"/>
    <w:multiLevelType w:val="hybridMultilevel"/>
    <w:tmpl w:val="BCF6B4E2"/>
    <w:lvl w:ilvl="0" w:tplc="B5309DDE">
      <w:start w:val="1"/>
      <w:numFmt w:val="decimal"/>
      <w:lvlText w:val="%1."/>
      <w:lvlJc w:val="left"/>
      <w:pPr>
        <w:tabs>
          <w:tab w:val="num" w:pos="360"/>
        </w:tabs>
        <w:ind w:left="360" w:hanging="360"/>
      </w:pPr>
      <w:rPr>
        <w:rFonts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494F68"/>
    <w:multiLevelType w:val="hybridMultilevel"/>
    <w:tmpl w:val="468E38B8"/>
    <w:lvl w:ilvl="0" w:tplc="FFFFFFFF">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935E26"/>
    <w:multiLevelType w:val="hybridMultilevel"/>
    <w:tmpl w:val="47DA0312"/>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7A2323"/>
    <w:multiLevelType w:val="hybridMultilevel"/>
    <w:tmpl w:val="3D9CF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058B4"/>
    <w:multiLevelType w:val="hybridMultilevel"/>
    <w:tmpl w:val="9CB086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C5C22E1"/>
    <w:multiLevelType w:val="hybridMultilevel"/>
    <w:tmpl w:val="700612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E1D7952"/>
    <w:multiLevelType w:val="hybridMultilevel"/>
    <w:tmpl w:val="31781186"/>
    <w:lvl w:ilvl="0" w:tplc="8646CC04">
      <w:numFmt w:val="bullet"/>
      <w:lvlText w:val="●"/>
      <w:lvlJc w:val="left"/>
      <w:pPr>
        <w:ind w:left="1540" w:hanging="360"/>
      </w:pPr>
      <w:rPr>
        <w:rFonts w:ascii="Times New Roman" w:eastAsia="Times New Roman" w:hAnsi="Times New Roman" w:cs="Times New Roman" w:hint="default"/>
        <w:spacing w:val="-25"/>
        <w:w w:val="99"/>
        <w:sz w:val="24"/>
        <w:szCs w:val="24"/>
      </w:rPr>
    </w:lvl>
    <w:lvl w:ilvl="1" w:tplc="2E62B234">
      <w:numFmt w:val="bullet"/>
      <w:lvlText w:val="•"/>
      <w:lvlJc w:val="left"/>
      <w:pPr>
        <w:ind w:left="2344" w:hanging="360"/>
      </w:pPr>
      <w:rPr>
        <w:rFonts w:hint="default"/>
      </w:rPr>
    </w:lvl>
    <w:lvl w:ilvl="2" w:tplc="FCE6922A">
      <w:numFmt w:val="bullet"/>
      <w:lvlText w:val="•"/>
      <w:lvlJc w:val="left"/>
      <w:pPr>
        <w:ind w:left="3148" w:hanging="360"/>
      </w:pPr>
      <w:rPr>
        <w:rFonts w:hint="default"/>
      </w:rPr>
    </w:lvl>
    <w:lvl w:ilvl="3" w:tplc="E47C29CA">
      <w:numFmt w:val="bullet"/>
      <w:lvlText w:val="•"/>
      <w:lvlJc w:val="left"/>
      <w:pPr>
        <w:ind w:left="3952" w:hanging="360"/>
      </w:pPr>
      <w:rPr>
        <w:rFonts w:hint="default"/>
      </w:rPr>
    </w:lvl>
    <w:lvl w:ilvl="4" w:tplc="A0E26FCC">
      <w:numFmt w:val="bullet"/>
      <w:lvlText w:val="•"/>
      <w:lvlJc w:val="left"/>
      <w:pPr>
        <w:ind w:left="4756" w:hanging="360"/>
      </w:pPr>
      <w:rPr>
        <w:rFonts w:hint="default"/>
      </w:rPr>
    </w:lvl>
    <w:lvl w:ilvl="5" w:tplc="5FB4F03A">
      <w:numFmt w:val="bullet"/>
      <w:lvlText w:val="•"/>
      <w:lvlJc w:val="left"/>
      <w:pPr>
        <w:ind w:left="5560" w:hanging="360"/>
      </w:pPr>
      <w:rPr>
        <w:rFonts w:hint="default"/>
      </w:rPr>
    </w:lvl>
    <w:lvl w:ilvl="6" w:tplc="712AE674">
      <w:numFmt w:val="bullet"/>
      <w:lvlText w:val="•"/>
      <w:lvlJc w:val="left"/>
      <w:pPr>
        <w:ind w:left="6364" w:hanging="360"/>
      </w:pPr>
      <w:rPr>
        <w:rFonts w:hint="default"/>
      </w:rPr>
    </w:lvl>
    <w:lvl w:ilvl="7" w:tplc="90FA4116">
      <w:numFmt w:val="bullet"/>
      <w:lvlText w:val="•"/>
      <w:lvlJc w:val="left"/>
      <w:pPr>
        <w:ind w:left="7168" w:hanging="360"/>
      </w:pPr>
      <w:rPr>
        <w:rFonts w:hint="default"/>
      </w:rPr>
    </w:lvl>
    <w:lvl w:ilvl="8" w:tplc="77DA5A34">
      <w:numFmt w:val="bullet"/>
      <w:lvlText w:val="•"/>
      <w:lvlJc w:val="left"/>
      <w:pPr>
        <w:ind w:left="7972" w:hanging="360"/>
      </w:pPr>
      <w:rPr>
        <w:rFonts w:hint="default"/>
      </w:rPr>
    </w:lvl>
  </w:abstractNum>
  <w:abstractNum w:abstractNumId="19" w15:restartNumberingAfterBreak="0">
    <w:nsid w:val="4E4A4220"/>
    <w:multiLevelType w:val="hybridMultilevel"/>
    <w:tmpl w:val="2F260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4B312A4"/>
    <w:multiLevelType w:val="hybridMultilevel"/>
    <w:tmpl w:val="87D8FC38"/>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60009FB"/>
    <w:multiLevelType w:val="multilevel"/>
    <w:tmpl w:val="1260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D1EAC"/>
    <w:multiLevelType w:val="hybridMultilevel"/>
    <w:tmpl w:val="CFCEB3C6"/>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37A7BF0"/>
    <w:multiLevelType w:val="multilevel"/>
    <w:tmpl w:val="8A94B0F8"/>
    <w:lvl w:ilvl="0">
      <w:start w:val="1"/>
      <w:numFmt w:val="decimal"/>
      <w:lvlText w:val="%1.0"/>
      <w:lvlJc w:val="left"/>
      <w:pPr>
        <w:ind w:left="-720" w:hanging="720"/>
      </w:pPr>
      <w:rPr>
        <w:rFonts w:hint="default"/>
        <w:i w:val="0"/>
        <w:smallCaps w:val="0"/>
        <w:strike w:val="0"/>
        <w:color w:val="000000"/>
        <w:u w:val="none"/>
        <w:vertAlign w:val="baseline"/>
      </w:rPr>
    </w:lvl>
    <w:lvl w:ilvl="1">
      <w:start w:val="1"/>
      <w:numFmt w:val="decimal"/>
      <w:lvlText w:val="%1.%2"/>
      <w:lvlJc w:val="left"/>
      <w:pPr>
        <w:ind w:left="-720" w:hanging="720"/>
      </w:pPr>
      <w:rPr>
        <w:rFonts w:hint="default"/>
        <w:i w:val="0"/>
        <w:smallCaps w:val="0"/>
        <w:strike w:val="0"/>
        <w:color w:val="000000"/>
        <w:u w:val="none"/>
        <w:vertAlign w:val="baseline"/>
      </w:rPr>
    </w:lvl>
    <w:lvl w:ilvl="2">
      <w:start w:val="1"/>
      <w:numFmt w:val="decimal"/>
      <w:lvlText w:val="%1.%2.%3"/>
      <w:lvlJc w:val="left"/>
      <w:pPr>
        <w:ind w:left="-720" w:hanging="720"/>
      </w:pPr>
      <w:rPr>
        <w:rFonts w:hint="default"/>
        <w:i w:val="0"/>
        <w:smallCaps w:val="0"/>
        <w:strike w:val="0"/>
        <w:color w:val="000000"/>
        <w:u w:val="none"/>
        <w:vertAlign w:val="baseline"/>
      </w:rPr>
    </w:lvl>
    <w:lvl w:ilvl="3">
      <w:start w:val="1"/>
      <w:numFmt w:val="decimal"/>
      <w:lvlText w:val="%1.%2.%3.%4"/>
      <w:lvlJc w:val="left"/>
      <w:pPr>
        <w:ind w:left="-720" w:hanging="720"/>
      </w:pPr>
      <w:rPr>
        <w:rFonts w:hint="default"/>
        <w:i w:val="0"/>
        <w:smallCaps w:val="0"/>
        <w:strike w:val="0"/>
        <w:color w:val="000000"/>
        <w:u w:val="none"/>
        <w:vertAlign w:val="baseline"/>
      </w:rPr>
    </w:lvl>
    <w:lvl w:ilvl="4">
      <w:start w:val="1"/>
      <w:numFmt w:val="decimal"/>
      <w:lvlText w:val="%1.%2.%3.%4.%5"/>
      <w:lvlJc w:val="left"/>
      <w:pPr>
        <w:ind w:left="-720" w:hanging="720"/>
      </w:pPr>
      <w:rPr>
        <w:rFonts w:hint="default"/>
        <w:vertAlign w:val="baseline"/>
      </w:rPr>
    </w:lvl>
    <w:lvl w:ilvl="5">
      <w:start w:val="1"/>
      <w:numFmt w:val="decimal"/>
      <w:lvlText w:val="%1.%2.%3.%4.%5.%6"/>
      <w:lvlJc w:val="left"/>
      <w:pPr>
        <w:ind w:left="-720" w:hanging="720"/>
      </w:pPr>
      <w:rPr>
        <w:rFonts w:hint="default"/>
        <w:vertAlign w:val="baseline"/>
      </w:rPr>
    </w:lvl>
    <w:lvl w:ilvl="6">
      <w:start w:val="1"/>
      <w:numFmt w:val="decimal"/>
      <w:lvlText w:val="%1.%2.%3.%4.%5.%6.%7"/>
      <w:lvlJc w:val="left"/>
      <w:pPr>
        <w:ind w:left="-720" w:hanging="720"/>
      </w:pPr>
      <w:rPr>
        <w:rFonts w:hint="default"/>
        <w:vertAlign w:val="baseline"/>
      </w:rPr>
    </w:lvl>
    <w:lvl w:ilvl="7">
      <w:start w:val="1"/>
      <w:numFmt w:val="decimal"/>
      <w:lvlText w:val="%1.%2.%3.%4.%5.%6.%7.%8"/>
      <w:lvlJc w:val="left"/>
      <w:pPr>
        <w:ind w:left="-720" w:hanging="720"/>
      </w:pPr>
      <w:rPr>
        <w:rFonts w:hint="default"/>
        <w:vertAlign w:val="baseline"/>
      </w:rPr>
    </w:lvl>
    <w:lvl w:ilvl="8">
      <w:start w:val="1"/>
      <w:numFmt w:val="decimal"/>
      <w:lvlText w:val="%1.%2.%3.%4.%5.%6.%7.%8.%9"/>
      <w:lvlJc w:val="left"/>
      <w:pPr>
        <w:ind w:left="-720" w:hanging="720"/>
      </w:pPr>
      <w:rPr>
        <w:rFonts w:hint="default"/>
        <w:vertAlign w:val="baseline"/>
      </w:rPr>
    </w:lvl>
  </w:abstractNum>
  <w:abstractNum w:abstractNumId="24" w15:restartNumberingAfterBreak="0">
    <w:nsid w:val="6D7A22DB"/>
    <w:multiLevelType w:val="hybridMultilevel"/>
    <w:tmpl w:val="D0E0A11E"/>
    <w:lvl w:ilvl="0" w:tplc="57A6DC46">
      <w:start w:val="37"/>
      <w:numFmt w:val="decimal"/>
      <w:lvlText w:val="%1."/>
      <w:lvlJc w:val="left"/>
      <w:pPr>
        <w:ind w:left="993" w:hanging="360"/>
      </w:pPr>
      <w:rPr>
        <w:rFonts w:ascii="Times New Roman" w:eastAsia="Times New Roman" w:hAnsi="Times New Roman" w:cs="Times New Roman" w:hint="default"/>
        <w:b w:val="0"/>
        <w:bCs w:val="0"/>
        <w:i w:val="0"/>
        <w:iCs w:val="0"/>
        <w:w w:val="100"/>
        <w:sz w:val="24"/>
        <w:szCs w:val="24"/>
      </w:rPr>
    </w:lvl>
    <w:lvl w:ilvl="1" w:tplc="1DE89EE4">
      <w:numFmt w:val="bullet"/>
      <w:lvlText w:val="●"/>
      <w:lvlJc w:val="left"/>
      <w:pPr>
        <w:ind w:left="1291" w:hanging="360"/>
      </w:pPr>
      <w:rPr>
        <w:rFonts w:ascii="Times New Roman" w:eastAsia="Times New Roman" w:hAnsi="Times New Roman" w:cs="Times New Roman" w:hint="default"/>
        <w:b w:val="0"/>
        <w:bCs w:val="0"/>
        <w:i w:val="0"/>
        <w:iCs w:val="0"/>
        <w:w w:val="100"/>
        <w:sz w:val="24"/>
        <w:szCs w:val="24"/>
      </w:rPr>
    </w:lvl>
    <w:lvl w:ilvl="2" w:tplc="3D6232A8">
      <w:numFmt w:val="bullet"/>
      <w:lvlText w:val="•"/>
      <w:lvlJc w:val="left"/>
      <w:pPr>
        <w:ind w:left="1660" w:hanging="360"/>
      </w:pPr>
      <w:rPr>
        <w:rFonts w:hint="default"/>
      </w:rPr>
    </w:lvl>
    <w:lvl w:ilvl="3" w:tplc="BE1486A6">
      <w:numFmt w:val="bullet"/>
      <w:lvlText w:val="•"/>
      <w:lvlJc w:val="left"/>
      <w:pPr>
        <w:ind w:left="2655" w:hanging="360"/>
      </w:pPr>
      <w:rPr>
        <w:rFonts w:hint="default"/>
      </w:rPr>
    </w:lvl>
    <w:lvl w:ilvl="4" w:tplc="F8DA4568">
      <w:numFmt w:val="bullet"/>
      <w:lvlText w:val="•"/>
      <w:lvlJc w:val="left"/>
      <w:pPr>
        <w:ind w:left="3650" w:hanging="360"/>
      </w:pPr>
      <w:rPr>
        <w:rFonts w:hint="default"/>
      </w:rPr>
    </w:lvl>
    <w:lvl w:ilvl="5" w:tplc="3692FDF4">
      <w:numFmt w:val="bullet"/>
      <w:lvlText w:val="•"/>
      <w:lvlJc w:val="left"/>
      <w:pPr>
        <w:ind w:left="4645" w:hanging="360"/>
      </w:pPr>
      <w:rPr>
        <w:rFonts w:hint="default"/>
      </w:rPr>
    </w:lvl>
    <w:lvl w:ilvl="6" w:tplc="0030998A">
      <w:numFmt w:val="bullet"/>
      <w:lvlText w:val="•"/>
      <w:lvlJc w:val="left"/>
      <w:pPr>
        <w:ind w:left="5640" w:hanging="360"/>
      </w:pPr>
      <w:rPr>
        <w:rFonts w:hint="default"/>
      </w:rPr>
    </w:lvl>
    <w:lvl w:ilvl="7" w:tplc="D292AC8E">
      <w:numFmt w:val="bullet"/>
      <w:lvlText w:val="•"/>
      <w:lvlJc w:val="left"/>
      <w:pPr>
        <w:ind w:left="6635" w:hanging="360"/>
      </w:pPr>
      <w:rPr>
        <w:rFonts w:hint="default"/>
      </w:rPr>
    </w:lvl>
    <w:lvl w:ilvl="8" w:tplc="73863EFC">
      <w:numFmt w:val="bullet"/>
      <w:lvlText w:val="•"/>
      <w:lvlJc w:val="left"/>
      <w:pPr>
        <w:ind w:left="7630" w:hanging="360"/>
      </w:pPr>
      <w:rPr>
        <w:rFonts w:hint="default"/>
      </w:rPr>
    </w:lvl>
  </w:abstractNum>
  <w:abstractNum w:abstractNumId="25" w15:restartNumberingAfterBreak="0">
    <w:nsid w:val="6EB015F6"/>
    <w:multiLevelType w:val="hybridMultilevel"/>
    <w:tmpl w:val="B31E119E"/>
    <w:lvl w:ilvl="0" w:tplc="10090001">
      <w:start w:val="1"/>
      <w:numFmt w:val="bullet"/>
      <w:lvlText w:val=""/>
      <w:lvlJc w:val="left"/>
      <w:pPr>
        <w:ind w:left="360" w:hanging="360"/>
      </w:pPr>
      <w:rPr>
        <w:rFonts w:ascii="Symbol" w:hAnsi="Symbol" w:hint="default"/>
        <w:sz w:val="28"/>
        <w:szCs w:val="28"/>
      </w:rPr>
    </w:lvl>
    <w:lvl w:ilvl="1" w:tplc="10090007">
      <w:start w:val="1"/>
      <w:numFmt w:val="bullet"/>
      <w:lvlText w:val=""/>
      <w:lvlPicBulletId w:val="0"/>
      <w:lvlJc w:val="left"/>
      <w:pPr>
        <w:ind w:left="108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D213786"/>
    <w:multiLevelType w:val="multilevel"/>
    <w:tmpl w:val="946EDE7A"/>
    <w:lvl w:ilvl="0">
      <w:start w:val="1"/>
      <w:numFmt w:val="bullet"/>
      <w:lvlText w:val="●"/>
      <w:lvlJc w:val="left"/>
      <w:pPr>
        <w:ind w:left="1540" w:hanging="360"/>
      </w:pPr>
      <w:rPr>
        <w:rFonts w:ascii="Times New Roman" w:eastAsia="Times New Roman" w:hAnsi="Times New Roman" w:cs="Times New Roman"/>
        <w:sz w:val="24"/>
        <w:szCs w:val="24"/>
      </w:rPr>
    </w:lvl>
    <w:lvl w:ilvl="1">
      <w:start w:val="1"/>
      <w:numFmt w:val="bullet"/>
      <w:lvlText w:val="•"/>
      <w:lvlJc w:val="left"/>
      <w:pPr>
        <w:ind w:left="2344" w:hanging="360"/>
      </w:pPr>
    </w:lvl>
    <w:lvl w:ilvl="2">
      <w:start w:val="1"/>
      <w:numFmt w:val="bullet"/>
      <w:lvlText w:val="•"/>
      <w:lvlJc w:val="left"/>
      <w:pPr>
        <w:ind w:left="3148" w:hanging="360"/>
      </w:pPr>
    </w:lvl>
    <w:lvl w:ilvl="3">
      <w:start w:val="1"/>
      <w:numFmt w:val="bullet"/>
      <w:lvlText w:val="•"/>
      <w:lvlJc w:val="left"/>
      <w:pPr>
        <w:ind w:left="3952" w:hanging="360"/>
      </w:pPr>
    </w:lvl>
    <w:lvl w:ilvl="4">
      <w:start w:val="1"/>
      <w:numFmt w:val="bullet"/>
      <w:lvlText w:val="•"/>
      <w:lvlJc w:val="left"/>
      <w:pPr>
        <w:ind w:left="4756" w:hanging="360"/>
      </w:pPr>
    </w:lvl>
    <w:lvl w:ilvl="5">
      <w:start w:val="1"/>
      <w:numFmt w:val="bullet"/>
      <w:lvlText w:val="•"/>
      <w:lvlJc w:val="left"/>
      <w:pPr>
        <w:ind w:left="5560" w:hanging="360"/>
      </w:pPr>
    </w:lvl>
    <w:lvl w:ilvl="6">
      <w:start w:val="1"/>
      <w:numFmt w:val="bullet"/>
      <w:lvlText w:val="•"/>
      <w:lvlJc w:val="left"/>
      <w:pPr>
        <w:ind w:left="6364" w:hanging="360"/>
      </w:pPr>
    </w:lvl>
    <w:lvl w:ilvl="7">
      <w:start w:val="1"/>
      <w:numFmt w:val="bullet"/>
      <w:lvlText w:val="•"/>
      <w:lvlJc w:val="left"/>
      <w:pPr>
        <w:ind w:left="7168" w:hanging="360"/>
      </w:pPr>
    </w:lvl>
    <w:lvl w:ilvl="8">
      <w:start w:val="1"/>
      <w:numFmt w:val="bullet"/>
      <w:lvlText w:val="•"/>
      <w:lvlJc w:val="left"/>
      <w:pPr>
        <w:ind w:left="7972" w:hanging="360"/>
      </w:pPr>
    </w:lvl>
  </w:abstractNum>
  <w:abstractNum w:abstractNumId="27" w15:restartNumberingAfterBreak="0">
    <w:nsid w:val="7DF571F5"/>
    <w:multiLevelType w:val="multilevel"/>
    <w:tmpl w:val="C0808248"/>
    <w:lvl w:ilvl="0">
      <w:start w:val="1"/>
      <w:numFmt w:val="decimal"/>
      <w:lvlText w:val="%1."/>
      <w:lvlJc w:val="left"/>
      <w:pPr>
        <w:ind w:left="360" w:hanging="360"/>
      </w:pPr>
      <w:rPr>
        <w:rFonts w:ascii="Calibri" w:hAnsi="Calibri"/>
        <w:sz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7EDC00C5"/>
    <w:multiLevelType w:val="hybridMultilevel"/>
    <w:tmpl w:val="7A966C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FAD6090"/>
    <w:multiLevelType w:val="hybridMultilevel"/>
    <w:tmpl w:val="9560F81A"/>
    <w:lvl w:ilvl="0" w:tplc="10090001">
      <w:start w:val="1"/>
      <w:numFmt w:val="bullet"/>
      <w:lvlText w:val=""/>
      <w:lvlJc w:val="left"/>
      <w:pPr>
        <w:ind w:left="360" w:hanging="360"/>
      </w:pPr>
      <w:rPr>
        <w:rFonts w:ascii="Symbol" w:hAnsi="Symbol" w:hint="default"/>
        <w:sz w:val="28"/>
        <w:szCs w:val="28"/>
      </w:rPr>
    </w:lvl>
    <w:lvl w:ilvl="1" w:tplc="10090007">
      <w:start w:val="1"/>
      <w:numFmt w:val="bullet"/>
      <w:lvlText w:val=""/>
      <w:lvlPicBulletId w:val="0"/>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75695520">
    <w:abstractNumId w:val="11"/>
  </w:num>
  <w:num w:numId="2" w16cid:durableId="2029481618">
    <w:abstractNumId w:val="10"/>
  </w:num>
  <w:num w:numId="3" w16cid:durableId="51390906">
    <w:abstractNumId w:val="9"/>
  </w:num>
  <w:num w:numId="4" w16cid:durableId="733166310">
    <w:abstractNumId w:val="13"/>
  </w:num>
  <w:num w:numId="5" w16cid:durableId="818957804">
    <w:abstractNumId w:val="20"/>
  </w:num>
  <w:num w:numId="6" w16cid:durableId="843008172">
    <w:abstractNumId w:val="23"/>
  </w:num>
  <w:num w:numId="7" w16cid:durableId="506095056">
    <w:abstractNumId w:val="22"/>
  </w:num>
  <w:num w:numId="8" w16cid:durableId="1658462969">
    <w:abstractNumId w:val="8"/>
  </w:num>
  <w:num w:numId="9" w16cid:durableId="1772165786">
    <w:abstractNumId w:val="25"/>
  </w:num>
  <w:num w:numId="10" w16cid:durableId="930353217">
    <w:abstractNumId w:val="29"/>
  </w:num>
  <w:num w:numId="11" w16cid:durableId="1090857568">
    <w:abstractNumId w:val="5"/>
  </w:num>
  <w:num w:numId="12" w16cid:durableId="1225676727">
    <w:abstractNumId w:val="27"/>
  </w:num>
  <w:num w:numId="13" w16cid:durableId="539635950">
    <w:abstractNumId w:val="17"/>
  </w:num>
  <w:num w:numId="14" w16cid:durableId="700975654">
    <w:abstractNumId w:val="3"/>
  </w:num>
  <w:num w:numId="15" w16cid:durableId="1766802543">
    <w:abstractNumId w:val="18"/>
  </w:num>
  <w:num w:numId="16" w16cid:durableId="732776098">
    <w:abstractNumId w:val="4"/>
  </w:num>
  <w:num w:numId="17" w16cid:durableId="1231384747">
    <w:abstractNumId w:val="19"/>
  </w:num>
  <w:num w:numId="18" w16cid:durableId="1305768640">
    <w:abstractNumId w:val="6"/>
  </w:num>
  <w:num w:numId="19" w16cid:durableId="1975721212">
    <w:abstractNumId w:val="14"/>
  </w:num>
  <w:num w:numId="20" w16cid:durableId="891116617">
    <w:abstractNumId w:val="16"/>
  </w:num>
  <w:num w:numId="21" w16cid:durableId="757796146">
    <w:abstractNumId w:val="26"/>
  </w:num>
  <w:num w:numId="22" w16cid:durableId="1917128077">
    <w:abstractNumId w:val="21"/>
  </w:num>
  <w:num w:numId="23" w16cid:durableId="61489131">
    <w:abstractNumId w:val="15"/>
  </w:num>
  <w:num w:numId="24" w16cid:durableId="659117942">
    <w:abstractNumId w:val="12"/>
  </w:num>
  <w:num w:numId="25" w16cid:durableId="1429305770">
    <w:abstractNumId w:val="7"/>
  </w:num>
  <w:num w:numId="26" w16cid:durableId="1147359412">
    <w:abstractNumId w:val="24"/>
  </w:num>
  <w:num w:numId="27" w16cid:durableId="54552212">
    <w:abstractNumId w:val="28"/>
  </w:num>
  <w:num w:numId="28" w16cid:durableId="1068453295">
    <w:abstractNumId w:val="2"/>
  </w:num>
  <w:num w:numId="29" w16cid:durableId="1940790961">
    <w:abstractNumId w:val="1"/>
  </w:num>
  <w:num w:numId="30" w16cid:durableId="83283458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81"/>
    <w:rsid w:val="00004BC6"/>
    <w:rsid w:val="00004CD5"/>
    <w:rsid w:val="00007084"/>
    <w:rsid w:val="00012917"/>
    <w:rsid w:val="00016CAD"/>
    <w:rsid w:val="000231B7"/>
    <w:rsid w:val="0003405D"/>
    <w:rsid w:val="000410A8"/>
    <w:rsid w:val="000423EE"/>
    <w:rsid w:val="000443FB"/>
    <w:rsid w:val="000479FD"/>
    <w:rsid w:val="000502F9"/>
    <w:rsid w:val="00051CDE"/>
    <w:rsid w:val="00054F8D"/>
    <w:rsid w:val="00061AB0"/>
    <w:rsid w:val="00064454"/>
    <w:rsid w:val="000650CD"/>
    <w:rsid w:val="0006534E"/>
    <w:rsid w:val="000657D9"/>
    <w:rsid w:val="000815B9"/>
    <w:rsid w:val="00081966"/>
    <w:rsid w:val="0008377A"/>
    <w:rsid w:val="000A0501"/>
    <w:rsid w:val="000A15BB"/>
    <w:rsid w:val="000A6E0B"/>
    <w:rsid w:val="000B148E"/>
    <w:rsid w:val="000B4117"/>
    <w:rsid w:val="000B45B9"/>
    <w:rsid w:val="000B784F"/>
    <w:rsid w:val="000B7B62"/>
    <w:rsid w:val="000C14F4"/>
    <w:rsid w:val="000C4298"/>
    <w:rsid w:val="000C5643"/>
    <w:rsid w:val="000D0E6A"/>
    <w:rsid w:val="000E03F8"/>
    <w:rsid w:val="000E1D49"/>
    <w:rsid w:val="000E24BB"/>
    <w:rsid w:val="000E2A7C"/>
    <w:rsid w:val="000F301D"/>
    <w:rsid w:val="000F4E89"/>
    <w:rsid w:val="000F74E7"/>
    <w:rsid w:val="000F7A56"/>
    <w:rsid w:val="000F7C48"/>
    <w:rsid w:val="00100E31"/>
    <w:rsid w:val="00115C72"/>
    <w:rsid w:val="001164A3"/>
    <w:rsid w:val="00121CA8"/>
    <w:rsid w:val="001242BA"/>
    <w:rsid w:val="00125EAE"/>
    <w:rsid w:val="00127640"/>
    <w:rsid w:val="00132560"/>
    <w:rsid w:val="001400BC"/>
    <w:rsid w:val="00140D8C"/>
    <w:rsid w:val="00143982"/>
    <w:rsid w:val="00150AF6"/>
    <w:rsid w:val="00152FF9"/>
    <w:rsid w:val="00154B01"/>
    <w:rsid w:val="0016093B"/>
    <w:rsid w:val="00162810"/>
    <w:rsid w:val="00164CF5"/>
    <w:rsid w:val="00165B7C"/>
    <w:rsid w:val="0016631C"/>
    <w:rsid w:val="00170949"/>
    <w:rsid w:val="00172D9F"/>
    <w:rsid w:val="00177705"/>
    <w:rsid w:val="00183DD8"/>
    <w:rsid w:val="00191A71"/>
    <w:rsid w:val="00191EEF"/>
    <w:rsid w:val="00192F4F"/>
    <w:rsid w:val="001A2332"/>
    <w:rsid w:val="001A43F1"/>
    <w:rsid w:val="001A755E"/>
    <w:rsid w:val="001A7D90"/>
    <w:rsid w:val="001B350B"/>
    <w:rsid w:val="001B3C32"/>
    <w:rsid w:val="001B5D4F"/>
    <w:rsid w:val="001B722A"/>
    <w:rsid w:val="001C38C5"/>
    <w:rsid w:val="001C407D"/>
    <w:rsid w:val="001C747B"/>
    <w:rsid w:val="001C75FE"/>
    <w:rsid w:val="001C77C4"/>
    <w:rsid w:val="001D3B15"/>
    <w:rsid w:val="001E4ECB"/>
    <w:rsid w:val="001E66ED"/>
    <w:rsid w:val="001F1231"/>
    <w:rsid w:val="001F20D8"/>
    <w:rsid w:val="001F3E5A"/>
    <w:rsid w:val="00200857"/>
    <w:rsid w:val="002015D0"/>
    <w:rsid w:val="0020338B"/>
    <w:rsid w:val="002067C2"/>
    <w:rsid w:val="00206C82"/>
    <w:rsid w:val="00207F24"/>
    <w:rsid w:val="002105E2"/>
    <w:rsid w:val="00214119"/>
    <w:rsid w:val="0021513F"/>
    <w:rsid w:val="00220C90"/>
    <w:rsid w:val="00222275"/>
    <w:rsid w:val="00231DF4"/>
    <w:rsid w:val="00233CBB"/>
    <w:rsid w:val="00235299"/>
    <w:rsid w:val="00235B7F"/>
    <w:rsid w:val="00235D65"/>
    <w:rsid w:val="00241922"/>
    <w:rsid w:val="00246FD7"/>
    <w:rsid w:val="00247E2D"/>
    <w:rsid w:val="00251334"/>
    <w:rsid w:val="00253E1F"/>
    <w:rsid w:val="002615DA"/>
    <w:rsid w:val="0026252C"/>
    <w:rsid w:val="00264EA2"/>
    <w:rsid w:val="002677AF"/>
    <w:rsid w:val="00271529"/>
    <w:rsid w:val="00272DAD"/>
    <w:rsid w:val="002736FE"/>
    <w:rsid w:val="00275C0F"/>
    <w:rsid w:val="0028301E"/>
    <w:rsid w:val="00292BC8"/>
    <w:rsid w:val="00293406"/>
    <w:rsid w:val="00295243"/>
    <w:rsid w:val="00297357"/>
    <w:rsid w:val="002A2207"/>
    <w:rsid w:val="002A2929"/>
    <w:rsid w:val="002A71C4"/>
    <w:rsid w:val="002B03E1"/>
    <w:rsid w:val="002B2F21"/>
    <w:rsid w:val="002B30EF"/>
    <w:rsid w:val="002C1A0F"/>
    <w:rsid w:val="002C715C"/>
    <w:rsid w:val="002D09C2"/>
    <w:rsid w:val="002D4BE4"/>
    <w:rsid w:val="002D7B12"/>
    <w:rsid w:val="002E2302"/>
    <w:rsid w:val="002E3A70"/>
    <w:rsid w:val="002E5724"/>
    <w:rsid w:val="002E7045"/>
    <w:rsid w:val="002F39A1"/>
    <w:rsid w:val="002F5D5F"/>
    <w:rsid w:val="0030100F"/>
    <w:rsid w:val="003046C0"/>
    <w:rsid w:val="0030529D"/>
    <w:rsid w:val="003079B9"/>
    <w:rsid w:val="00310318"/>
    <w:rsid w:val="003107A8"/>
    <w:rsid w:val="003126D8"/>
    <w:rsid w:val="00312790"/>
    <w:rsid w:val="00313EBC"/>
    <w:rsid w:val="00317C16"/>
    <w:rsid w:val="003228FB"/>
    <w:rsid w:val="00326985"/>
    <w:rsid w:val="00327817"/>
    <w:rsid w:val="003416C5"/>
    <w:rsid w:val="00343180"/>
    <w:rsid w:val="0035170C"/>
    <w:rsid w:val="00352D56"/>
    <w:rsid w:val="00357DA3"/>
    <w:rsid w:val="00364789"/>
    <w:rsid w:val="003653BB"/>
    <w:rsid w:val="00366CC0"/>
    <w:rsid w:val="00367879"/>
    <w:rsid w:val="00367B7E"/>
    <w:rsid w:val="003714BB"/>
    <w:rsid w:val="00374989"/>
    <w:rsid w:val="00374A85"/>
    <w:rsid w:val="0038315F"/>
    <w:rsid w:val="0039007B"/>
    <w:rsid w:val="003906D4"/>
    <w:rsid w:val="00390CB0"/>
    <w:rsid w:val="003A043F"/>
    <w:rsid w:val="003A117E"/>
    <w:rsid w:val="003A164E"/>
    <w:rsid w:val="003A462F"/>
    <w:rsid w:val="003C351B"/>
    <w:rsid w:val="003C3B58"/>
    <w:rsid w:val="003C6700"/>
    <w:rsid w:val="003C7D7A"/>
    <w:rsid w:val="003D02EF"/>
    <w:rsid w:val="003D20A0"/>
    <w:rsid w:val="003D26C8"/>
    <w:rsid w:val="003D3C0C"/>
    <w:rsid w:val="003D5228"/>
    <w:rsid w:val="003D5D09"/>
    <w:rsid w:val="003D76DC"/>
    <w:rsid w:val="003E27BD"/>
    <w:rsid w:val="003E2804"/>
    <w:rsid w:val="003E42F4"/>
    <w:rsid w:val="003F135B"/>
    <w:rsid w:val="003F5FBF"/>
    <w:rsid w:val="003F7F40"/>
    <w:rsid w:val="00400A4A"/>
    <w:rsid w:val="004038D5"/>
    <w:rsid w:val="00405772"/>
    <w:rsid w:val="004062B8"/>
    <w:rsid w:val="00406DD3"/>
    <w:rsid w:val="00407347"/>
    <w:rsid w:val="004125E5"/>
    <w:rsid w:val="00416CEB"/>
    <w:rsid w:val="00440E78"/>
    <w:rsid w:val="00440EDD"/>
    <w:rsid w:val="00444A2B"/>
    <w:rsid w:val="004454C4"/>
    <w:rsid w:val="00446030"/>
    <w:rsid w:val="0045176C"/>
    <w:rsid w:val="00451FDE"/>
    <w:rsid w:val="00452739"/>
    <w:rsid w:val="00456164"/>
    <w:rsid w:val="00462D18"/>
    <w:rsid w:val="004631B2"/>
    <w:rsid w:val="00464D3D"/>
    <w:rsid w:val="00464E88"/>
    <w:rsid w:val="004658E4"/>
    <w:rsid w:val="00465B25"/>
    <w:rsid w:val="004664E4"/>
    <w:rsid w:val="00467F0A"/>
    <w:rsid w:val="00484A7A"/>
    <w:rsid w:val="0048521A"/>
    <w:rsid w:val="0048740D"/>
    <w:rsid w:val="004879B0"/>
    <w:rsid w:val="00490225"/>
    <w:rsid w:val="00491AA4"/>
    <w:rsid w:val="004928B7"/>
    <w:rsid w:val="004A3D31"/>
    <w:rsid w:val="004A789F"/>
    <w:rsid w:val="004B5BE4"/>
    <w:rsid w:val="004B7996"/>
    <w:rsid w:val="004C0F34"/>
    <w:rsid w:val="004C1439"/>
    <w:rsid w:val="004C1596"/>
    <w:rsid w:val="004C439F"/>
    <w:rsid w:val="004C6689"/>
    <w:rsid w:val="004D058A"/>
    <w:rsid w:val="004D5BBB"/>
    <w:rsid w:val="004E3168"/>
    <w:rsid w:val="004E7455"/>
    <w:rsid w:val="004F35D0"/>
    <w:rsid w:val="004F3640"/>
    <w:rsid w:val="004F4006"/>
    <w:rsid w:val="004F4EBB"/>
    <w:rsid w:val="004F64A4"/>
    <w:rsid w:val="004F755E"/>
    <w:rsid w:val="00500B1A"/>
    <w:rsid w:val="00502519"/>
    <w:rsid w:val="00505E0A"/>
    <w:rsid w:val="005100D8"/>
    <w:rsid w:val="005179D5"/>
    <w:rsid w:val="00524E2E"/>
    <w:rsid w:val="00532B26"/>
    <w:rsid w:val="00535609"/>
    <w:rsid w:val="005400C1"/>
    <w:rsid w:val="005427BD"/>
    <w:rsid w:val="0054459A"/>
    <w:rsid w:val="00544EFF"/>
    <w:rsid w:val="00550A3A"/>
    <w:rsid w:val="00550A65"/>
    <w:rsid w:val="0056109C"/>
    <w:rsid w:val="00561B33"/>
    <w:rsid w:val="00562178"/>
    <w:rsid w:val="00566FF4"/>
    <w:rsid w:val="00570BEB"/>
    <w:rsid w:val="00574CDE"/>
    <w:rsid w:val="00577C59"/>
    <w:rsid w:val="00577F11"/>
    <w:rsid w:val="00580062"/>
    <w:rsid w:val="0058591A"/>
    <w:rsid w:val="0059075D"/>
    <w:rsid w:val="00591BFA"/>
    <w:rsid w:val="00592FDD"/>
    <w:rsid w:val="0059466B"/>
    <w:rsid w:val="0059602D"/>
    <w:rsid w:val="005A6646"/>
    <w:rsid w:val="005A7A62"/>
    <w:rsid w:val="005B2C10"/>
    <w:rsid w:val="005B322C"/>
    <w:rsid w:val="005B685E"/>
    <w:rsid w:val="005B7A7F"/>
    <w:rsid w:val="005C4119"/>
    <w:rsid w:val="005C51FD"/>
    <w:rsid w:val="005C6A8F"/>
    <w:rsid w:val="005C7998"/>
    <w:rsid w:val="005D0102"/>
    <w:rsid w:val="005D2CF0"/>
    <w:rsid w:val="005D53AF"/>
    <w:rsid w:val="005E4611"/>
    <w:rsid w:val="005E4674"/>
    <w:rsid w:val="005E580D"/>
    <w:rsid w:val="005E6C4A"/>
    <w:rsid w:val="005F1E56"/>
    <w:rsid w:val="00600018"/>
    <w:rsid w:val="0060128C"/>
    <w:rsid w:val="006062B6"/>
    <w:rsid w:val="0061006E"/>
    <w:rsid w:val="006121B5"/>
    <w:rsid w:val="006170F7"/>
    <w:rsid w:val="00620561"/>
    <w:rsid w:val="00621287"/>
    <w:rsid w:val="0062357F"/>
    <w:rsid w:val="00634213"/>
    <w:rsid w:val="00640ED6"/>
    <w:rsid w:val="00641E94"/>
    <w:rsid w:val="00645C7D"/>
    <w:rsid w:val="00650794"/>
    <w:rsid w:val="0065530A"/>
    <w:rsid w:val="006654F5"/>
    <w:rsid w:val="0066771E"/>
    <w:rsid w:val="00670EAB"/>
    <w:rsid w:val="006727C7"/>
    <w:rsid w:val="00672A5B"/>
    <w:rsid w:val="00672E48"/>
    <w:rsid w:val="00672FEE"/>
    <w:rsid w:val="006734C6"/>
    <w:rsid w:val="00675705"/>
    <w:rsid w:val="006759D3"/>
    <w:rsid w:val="006765B2"/>
    <w:rsid w:val="00677163"/>
    <w:rsid w:val="006802CA"/>
    <w:rsid w:val="00680BC5"/>
    <w:rsid w:val="006813AC"/>
    <w:rsid w:val="00684CEB"/>
    <w:rsid w:val="00690771"/>
    <w:rsid w:val="00693297"/>
    <w:rsid w:val="006965A2"/>
    <w:rsid w:val="00696AA1"/>
    <w:rsid w:val="006A1D32"/>
    <w:rsid w:val="006A312B"/>
    <w:rsid w:val="006A38B4"/>
    <w:rsid w:val="006B43A0"/>
    <w:rsid w:val="006B67EA"/>
    <w:rsid w:val="006D0B6A"/>
    <w:rsid w:val="006D2D97"/>
    <w:rsid w:val="006D3589"/>
    <w:rsid w:val="006D484C"/>
    <w:rsid w:val="006D68DD"/>
    <w:rsid w:val="006E2E14"/>
    <w:rsid w:val="006E3A8C"/>
    <w:rsid w:val="006F1598"/>
    <w:rsid w:val="006F19F4"/>
    <w:rsid w:val="006F1CA2"/>
    <w:rsid w:val="006F434C"/>
    <w:rsid w:val="006F4452"/>
    <w:rsid w:val="006F4F0B"/>
    <w:rsid w:val="00703778"/>
    <w:rsid w:val="00704612"/>
    <w:rsid w:val="00704BAE"/>
    <w:rsid w:val="00706373"/>
    <w:rsid w:val="00706A76"/>
    <w:rsid w:val="0071207A"/>
    <w:rsid w:val="00717744"/>
    <w:rsid w:val="00721F6C"/>
    <w:rsid w:val="007238F5"/>
    <w:rsid w:val="007244C5"/>
    <w:rsid w:val="00726453"/>
    <w:rsid w:val="00730059"/>
    <w:rsid w:val="00744932"/>
    <w:rsid w:val="00751228"/>
    <w:rsid w:val="007569F9"/>
    <w:rsid w:val="00760CF8"/>
    <w:rsid w:val="00763D49"/>
    <w:rsid w:val="00764213"/>
    <w:rsid w:val="00764AAA"/>
    <w:rsid w:val="00765233"/>
    <w:rsid w:val="0077138A"/>
    <w:rsid w:val="00771F61"/>
    <w:rsid w:val="00774B34"/>
    <w:rsid w:val="007750CF"/>
    <w:rsid w:val="007756B6"/>
    <w:rsid w:val="00780D20"/>
    <w:rsid w:val="00783073"/>
    <w:rsid w:val="0078341A"/>
    <w:rsid w:val="0078403F"/>
    <w:rsid w:val="00784D91"/>
    <w:rsid w:val="00785E21"/>
    <w:rsid w:val="00786A6F"/>
    <w:rsid w:val="00787E87"/>
    <w:rsid w:val="00794110"/>
    <w:rsid w:val="00794D8C"/>
    <w:rsid w:val="0079601C"/>
    <w:rsid w:val="00796986"/>
    <w:rsid w:val="007A2A37"/>
    <w:rsid w:val="007A356F"/>
    <w:rsid w:val="007A3CCF"/>
    <w:rsid w:val="007A507C"/>
    <w:rsid w:val="007A5C73"/>
    <w:rsid w:val="007A7FEA"/>
    <w:rsid w:val="007B0D9A"/>
    <w:rsid w:val="007B38F3"/>
    <w:rsid w:val="007B528A"/>
    <w:rsid w:val="007B61A0"/>
    <w:rsid w:val="007C2F61"/>
    <w:rsid w:val="007C41C8"/>
    <w:rsid w:val="007D6104"/>
    <w:rsid w:val="007D61C1"/>
    <w:rsid w:val="007E1048"/>
    <w:rsid w:val="007E4756"/>
    <w:rsid w:val="007F1D64"/>
    <w:rsid w:val="007F2159"/>
    <w:rsid w:val="007F27E0"/>
    <w:rsid w:val="007F544C"/>
    <w:rsid w:val="0082041A"/>
    <w:rsid w:val="00820C66"/>
    <w:rsid w:val="00823E03"/>
    <w:rsid w:val="00824503"/>
    <w:rsid w:val="0082696B"/>
    <w:rsid w:val="00827B06"/>
    <w:rsid w:val="008314DE"/>
    <w:rsid w:val="00832377"/>
    <w:rsid w:val="00833EA3"/>
    <w:rsid w:val="008359DA"/>
    <w:rsid w:val="0083731F"/>
    <w:rsid w:val="00841C18"/>
    <w:rsid w:val="00844149"/>
    <w:rsid w:val="0084499C"/>
    <w:rsid w:val="00847A34"/>
    <w:rsid w:val="00855345"/>
    <w:rsid w:val="008565C8"/>
    <w:rsid w:val="00865041"/>
    <w:rsid w:val="00876522"/>
    <w:rsid w:val="008825EB"/>
    <w:rsid w:val="00886321"/>
    <w:rsid w:val="00890D32"/>
    <w:rsid w:val="00890F48"/>
    <w:rsid w:val="00894435"/>
    <w:rsid w:val="00897372"/>
    <w:rsid w:val="00897383"/>
    <w:rsid w:val="008A0F05"/>
    <w:rsid w:val="008A2BCD"/>
    <w:rsid w:val="008A40A7"/>
    <w:rsid w:val="008B1B2E"/>
    <w:rsid w:val="008B5E82"/>
    <w:rsid w:val="008D1084"/>
    <w:rsid w:val="008D2C35"/>
    <w:rsid w:val="008D52ED"/>
    <w:rsid w:val="008D789C"/>
    <w:rsid w:val="008E0746"/>
    <w:rsid w:val="008E32C6"/>
    <w:rsid w:val="008E4DDC"/>
    <w:rsid w:val="008F0037"/>
    <w:rsid w:val="008F1880"/>
    <w:rsid w:val="008F1EBC"/>
    <w:rsid w:val="008F2804"/>
    <w:rsid w:val="008F6498"/>
    <w:rsid w:val="008F7837"/>
    <w:rsid w:val="008F7EDD"/>
    <w:rsid w:val="00901A96"/>
    <w:rsid w:val="00901B58"/>
    <w:rsid w:val="00902E02"/>
    <w:rsid w:val="00903060"/>
    <w:rsid w:val="00905B1A"/>
    <w:rsid w:val="00910A55"/>
    <w:rsid w:val="00911EE9"/>
    <w:rsid w:val="009120A0"/>
    <w:rsid w:val="009214C2"/>
    <w:rsid w:val="00926115"/>
    <w:rsid w:val="00931546"/>
    <w:rsid w:val="00932243"/>
    <w:rsid w:val="009327A5"/>
    <w:rsid w:val="009329B8"/>
    <w:rsid w:val="0093390B"/>
    <w:rsid w:val="00936BF3"/>
    <w:rsid w:val="00940625"/>
    <w:rsid w:val="009414F9"/>
    <w:rsid w:val="00941738"/>
    <w:rsid w:val="00943150"/>
    <w:rsid w:val="00944242"/>
    <w:rsid w:val="0094508C"/>
    <w:rsid w:val="00950367"/>
    <w:rsid w:val="00951667"/>
    <w:rsid w:val="009516DE"/>
    <w:rsid w:val="009561CB"/>
    <w:rsid w:val="009575A2"/>
    <w:rsid w:val="00957BB7"/>
    <w:rsid w:val="00963CC6"/>
    <w:rsid w:val="00967F5E"/>
    <w:rsid w:val="00970D19"/>
    <w:rsid w:val="00971771"/>
    <w:rsid w:val="0097285E"/>
    <w:rsid w:val="009770A2"/>
    <w:rsid w:val="0098112E"/>
    <w:rsid w:val="00983333"/>
    <w:rsid w:val="009854C4"/>
    <w:rsid w:val="00986A72"/>
    <w:rsid w:val="009902DC"/>
    <w:rsid w:val="009914CA"/>
    <w:rsid w:val="00994C09"/>
    <w:rsid w:val="009A0FE1"/>
    <w:rsid w:val="009A1D2E"/>
    <w:rsid w:val="009A5E22"/>
    <w:rsid w:val="009A7184"/>
    <w:rsid w:val="009A7667"/>
    <w:rsid w:val="009B0913"/>
    <w:rsid w:val="009B277C"/>
    <w:rsid w:val="009B308D"/>
    <w:rsid w:val="009B700A"/>
    <w:rsid w:val="009C4A42"/>
    <w:rsid w:val="009C4EF3"/>
    <w:rsid w:val="009D3359"/>
    <w:rsid w:val="009D62CF"/>
    <w:rsid w:val="009E3C80"/>
    <w:rsid w:val="009E59B4"/>
    <w:rsid w:val="009F06D7"/>
    <w:rsid w:val="009F1FAA"/>
    <w:rsid w:val="009F23F7"/>
    <w:rsid w:val="009F3111"/>
    <w:rsid w:val="00A01589"/>
    <w:rsid w:val="00A0283E"/>
    <w:rsid w:val="00A040D2"/>
    <w:rsid w:val="00A07BB8"/>
    <w:rsid w:val="00A1140A"/>
    <w:rsid w:val="00A13D1B"/>
    <w:rsid w:val="00A1587C"/>
    <w:rsid w:val="00A171FE"/>
    <w:rsid w:val="00A2504E"/>
    <w:rsid w:val="00A3098F"/>
    <w:rsid w:val="00A30AC6"/>
    <w:rsid w:val="00A318CB"/>
    <w:rsid w:val="00A31E25"/>
    <w:rsid w:val="00A50A6C"/>
    <w:rsid w:val="00A63B06"/>
    <w:rsid w:val="00A663FA"/>
    <w:rsid w:val="00A735B6"/>
    <w:rsid w:val="00A83660"/>
    <w:rsid w:val="00A8550C"/>
    <w:rsid w:val="00A87161"/>
    <w:rsid w:val="00AA14FA"/>
    <w:rsid w:val="00AA1BDE"/>
    <w:rsid w:val="00AA2063"/>
    <w:rsid w:val="00AA25A7"/>
    <w:rsid w:val="00AA29E5"/>
    <w:rsid w:val="00AA7DB2"/>
    <w:rsid w:val="00AB00FE"/>
    <w:rsid w:val="00AB6D15"/>
    <w:rsid w:val="00AC33F7"/>
    <w:rsid w:val="00AC5162"/>
    <w:rsid w:val="00AC5975"/>
    <w:rsid w:val="00AD1F9C"/>
    <w:rsid w:val="00AD4A6D"/>
    <w:rsid w:val="00AE20D8"/>
    <w:rsid w:val="00AE4882"/>
    <w:rsid w:val="00AF33D3"/>
    <w:rsid w:val="00AF55F3"/>
    <w:rsid w:val="00AF7137"/>
    <w:rsid w:val="00B02F1A"/>
    <w:rsid w:val="00B03E27"/>
    <w:rsid w:val="00B048B3"/>
    <w:rsid w:val="00B05382"/>
    <w:rsid w:val="00B05B6D"/>
    <w:rsid w:val="00B05F96"/>
    <w:rsid w:val="00B10F64"/>
    <w:rsid w:val="00B26650"/>
    <w:rsid w:val="00B335E7"/>
    <w:rsid w:val="00B35239"/>
    <w:rsid w:val="00B40941"/>
    <w:rsid w:val="00B438B9"/>
    <w:rsid w:val="00B458C1"/>
    <w:rsid w:val="00B4673A"/>
    <w:rsid w:val="00B521D5"/>
    <w:rsid w:val="00B5310C"/>
    <w:rsid w:val="00B57B81"/>
    <w:rsid w:val="00B61361"/>
    <w:rsid w:val="00B6154A"/>
    <w:rsid w:val="00B630BC"/>
    <w:rsid w:val="00B642D9"/>
    <w:rsid w:val="00B7011A"/>
    <w:rsid w:val="00B70282"/>
    <w:rsid w:val="00B70520"/>
    <w:rsid w:val="00B71E11"/>
    <w:rsid w:val="00B71E54"/>
    <w:rsid w:val="00B73BD7"/>
    <w:rsid w:val="00B752CD"/>
    <w:rsid w:val="00B82EF9"/>
    <w:rsid w:val="00B84D44"/>
    <w:rsid w:val="00B906ED"/>
    <w:rsid w:val="00B90F96"/>
    <w:rsid w:val="00B97B97"/>
    <w:rsid w:val="00BA012D"/>
    <w:rsid w:val="00BA08CB"/>
    <w:rsid w:val="00BA4580"/>
    <w:rsid w:val="00BA53A7"/>
    <w:rsid w:val="00BB045D"/>
    <w:rsid w:val="00BB14C5"/>
    <w:rsid w:val="00BB3646"/>
    <w:rsid w:val="00BB7AF8"/>
    <w:rsid w:val="00BC1274"/>
    <w:rsid w:val="00BC1AAC"/>
    <w:rsid w:val="00BC4875"/>
    <w:rsid w:val="00BD48E0"/>
    <w:rsid w:val="00BD55F8"/>
    <w:rsid w:val="00BD7AD6"/>
    <w:rsid w:val="00BE1D57"/>
    <w:rsid w:val="00BE2A15"/>
    <w:rsid w:val="00BE498B"/>
    <w:rsid w:val="00BE4BE6"/>
    <w:rsid w:val="00BE580F"/>
    <w:rsid w:val="00BE6833"/>
    <w:rsid w:val="00BF074F"/>
    <w:rsid w:val="00BF3D4E"/>
    <w:rsid w:val="00C012A8"/>
    <w:rsid w:val="00C026BB"/>
    <w:rsid w:val="00C05502"/>
    <w:rsid w:val="00C07B13"/>
    <w:rsid w:val="00C11268"/>
    <w:rsid w:val="00C12735"/>
    <w:rsid w:val="00C1286D"/>
    <w:rsid w:val="00C207ED"/>
    <w:rsid w:val="00C243D7"/>
    <w:rsid w:val="00C251D4"/>
    <w:rsid w:val="00C253D7"/>
    <w:rsid w:val="00C27948"/>
    <w:rsid w:val="00C31CE9"/>
    <w:rsid w:val="00C3427D"/>
    <w:rsid w:val="00C40A9D"/>
    <w:rsid w:val="00C430E5"/>
    <w:rsid w:val="00C44D82"/>
    <w:rsid w:val="00C5665A"/>
    <w:rsid w:val="00C61D0D"/>
    <w:rsid w:val="00C620B1"/>
    <w:rsid w:val="00C6257C"/>
    <w:rsid w:val="00C640A0"/>
    <w:rsid w:val="00C645A3"/>
    <w:rsid w:val="00C66742"/>
    <w:rsid w:val="00C672F2"/>
    <w:rsid w:val="00C67A04"/>
    <w:rsid w:val="00C715A2"/>
    <w:rsid w:val="00C72420"/>
    <w:rsid w:val="00C7322F"/>
    <w:rsid w:val="00C74942"/>
    <w:rsid w:val="00C74AE5"/>
    <w:rsid w:val="00C75781"/>
    <w:rsid w:val="00C81EAF"/>
    <w:rsid w:val="00C925B1"/>
    <w:rsid w:val="00C957DE"/>
    <w:rsid w:val="00CA0482"/>
    <w:rsid w:val="00CA1F80"/>
    <w:rsid w:val="00CA4331"/>
    <w:rsid w:val="00CA6772"/>
    <w:rsid w:val="00CA692D"/>
    <w:rsid w:val="00CA77BF"/>
    <w:rsid w:val="00CC1288"/>
    <w:rsid w:val="00CC1446"/>
    <w:rsid w:val="00CC6875"/>
    <w:rsid w:val="00CC6BFE"/>
    <w:rsid w:val="00CC756C"/>
    <w:rsid w:val="00CD5016"/>
    <w:rsid w:val="00CD72BC"/>
    <w:rsid w:val="00CE0FCF"/>
    <w:rsid w:val="00CE4351"/>
    <w:rsid w:val="00CE5B7A"/>
    <w:rsid w:val="00CF0C70"/>
    <w:rsid w:val="00CF2B70"/>
    <w:rsid w:val="00D016C1"/>
    <w:rsid w:val="00D027B1"/>
    <w:rsid w:val="00D058C3"/>
    <w:rsid w:val="00D06C55"/>
    <w:rsid w:val="00D128D6"/>
    <w:rsid w:val="00D14D01"/>
    <w:rsid w:val="00D16062"/>
    <w:rsid w:val="00D23154"/>
    <w:rsid w:val="00D23300"/>
    <w:rsid w:val="00D259CF"/>
    <w:rsid w:val="00D25B24"/>
    <w:rsid w:val="00D31463"/>
    <w:rsid w:val="00D322FF"/>
    <w:rsid w:val="00D3246F"/>
    <w:rsid w:val="00D43FB3"/>
    <w:rsid w:val="00D443C9"/>
    <w:rsid w:val="00D44489"/>
    <w:rsid w:val="00D47E7C"/>
    <w:rsid w:val="00D54D76"/>
    <w:rsid w:val="00D55FF9"/>
    <w:rsid w:val="00D677DD"/>
    <w:rsid w:val="00D7033C"/>
    <w:rsid w:val="00D719C7"/>
    <w:rsid w:val="00D76668"/>
    <w:rsid w:val="00D771B2"/>
    <w:rsid w:val="00D77990"/>
    <w:rsid w:val="00D82576"/>
    <w:rsid w:val="00D82A00"/>
    <w:rsid w:val="00D85844"/>
    <w:rsid w:val="00D94877"/>
    <w:rsid w:val="00DA06A4"/>
    <w:rsid w:val="00DA12C0"/>
    <w:rsid w:val="00DA1529"/>
    <w:rsid w:val="00DA1D48"/>
    <w:rsid w:val="00DA1D58"/>
    <w:rsid w:val="00DB21D6"/>
    <w:rsid w:val="00DB3C71"/>
    <w:rsid w:val="00DB6DCC"/>
    <w:rsid w:val="00DB779D"/>
    <w:rsid w:val="00DC2448"/>
    <w:rsid w:val="00DC477F"/>
    <w:rsid w:val="00DC49E4"/>
    <w:rsid w:val="00DC4BBE"/>
    <w:rsid w:val="00DC635F"/>
    <w:rsid w:val="00DC6993"/>
    <w:rsid w:val="00DC6D53"/>
    <w:rsid w:val="00DD0C7E"/>
    <w:rsid w:val="00DD5370"/>
    <w:rsid w:val="00DD58FE"/>
    <w:rsid w:val="00DD6933"/>
    <w:rsid w:val="00DD77A4"/>
    <w:rsid w:val="00DE4B88"/>
    <w:rsid w:val="00DE673B"/>
    <w:rsid w:val="00DF0C2E"/>
    <w:rsid w:val="00DF31A7"/>
    <w:rsid w:val="00DF3927"/>
    <w:rsid w:val="00E02D79"/>
    <w:rsid w:val="00E0379F"/>
    <w:rsid w:val="00E05982"/>
    <w:rsid w:val="00E059D9"/>
    <w:rsid w:val="00E13AD9"/>
    <w:rsid w:val="00E171B8"/>
    <w:rsid w:val="00E22EA0"/>
    <w:rsid w:val="00E24028"/>
    <w:rsid w:val="00E24AA2"/>
    <w:rsid w:val="00E32A39"/>
    <w:rsid w:val="00E41513"/>
    <w:rsid w:val="00E4680C"/>
    <w:rsid w:val="00E53987"/>
    <w:rsid w:val="00E54A84"/>
    <w:rsid w:val="00E5644A"/>
    <w:rsid w:val="00E56E39"/>
    <w:rsid w:val="00E60C03"/>
    <w:rsid w:val="00E6379E"/>
    <w:rsid w:val="00E65B68"/>
    <w:rsid w:val="00E72307"/>
    <w:rsid w:val="00E7258F"/>
    <w:rsid w:val="00E75CF0"/>
    <w:rsid w:val="00E761BA"/>
    <w:rsid w:val="00E86C6F"/>
    <w:rsid w:val="00E8705D"/>
    <w:rsid w:val="00E8798A"/>
    <w:rsid w:val="00E9257F"/>
    <w:rsid w:val="00E92DAE"/>
    <w:rsid w:val="00E9500F"/>
    <w:rsid w:val="00E954D1"/>
    <w:rsid w:val="00EA09BD"/>
    <w:rsid w:val="00EA1CCD"/>
    <w:rsid w:val="00EA4AC8"/>
    <w:rsid w:val="00EA5670"/>
    <w:rsid w:val="00EB008E"/>
    <w:rsid w:val="00EB0442"/>
    <w:rsid w:val="00EB3487"/>
    <w:rsid w:val="00EB5FD3"/>
    <w:rsid w:val="00EC18CF"/>
    <w:rsid w:val="00EC23C4"/>
    <w:rsid w:val="00EC65A7"/>
    <w:rsid w:val="00ED38BC"/>
    <w:rsid w:val="00ED4338"/>
    <w:rsid w:val="00EE1005"/>
    <w:rsid w:val="00EF0D64"/>
    <w:rsid w:val="00EF1F0C"/>
    <w:rsid w:val="00EF4186"/>
    <w:rsid w:val="00EF589B"/>
    <w:rsid w:val="00F00CA1"/>
    <w:rsid w:val="00F01FD6"/>
    <w:rsid w:val="00F03CD7"/>
    <w:rsid w:val="00F06FEB"/>
    <w:rsid w:val="00F1059F"/>
    <w:rsid w:val="00F10F22"/>
    <w:rsid w:val="00F14290"/>
    <w:rsid w:val="00F145B1"/>
    <w:rsid w:val="00F15585"/>
    <w:rsid w:val="00F211FA"/>
    <w:rsid w:val="00F21658"/>
    <w:rsid w:val="00F24AE2"/>
    <w:rsid w:val="00F30FF8"/>
    <w:rsid w:val="00F3125B"/>
    <w:rsid w:val="00F33DD7"/>
    <w:rsid w:val="00F42B04"/>
    <w:rsid w:val="00F46B01"/>
    <w:rsid w:val="00F47D82"/>
    <w:rsid w:val="00F5105F"/>
    <w:rsid w:val="00F513E5"/>
    <w:rsid w:val="00F5381E"/>
    <w:rsid w:val="00F61537"/>
    <w:rsid w:val="00F62D21"/>
    <w:rsid w:val="00F648D0"/>
    <w:rsid w:val="00F6646E"/>
    <w:rsid w:val="00F669C1"/>
    <w:rsid w:val="00F6715E"/>
    <w:rsid w:val="00F70A99"/>
    <w:rsid w:val="00F76809"/>
    <w:rsid w:val="00F7798B"/>
    <w:rsid w:val="00F8068B"/>
    <w:rsid w:val="00F81BD1"/>
    <w:rsid w:val="00F8305C"/>
    <w:rsid w:val="00F834DB"/>
    <w:rsid w:val="00F929C8"/>
    <w:rsid w:val="00F92C36"/>
    <w:rsid w:val="00F96054"/>
    <w:rsid w:val="00F976D3"/>
    <w:rsid w:val="00FA00DB"/>
    <w:rsid w:val="00FA090B"/>
    <w:rsid w:val="00FA1E79"/>
    <w:rsid w:val="00FA4328"/>
    <w:rsid w:val="00FB06DF"/>
    <w:rsid w:val="00FC1928"/>
    <w:rsid w:val="00FC2093"/>
    <w:rsid w:val="00FC20CB"/>
    <w:rsid w:val="00FC339C"/>
    <w:rsid w:val="00FC4946"/>
    <w:rsid w:val="00FC7F78"/>
    <w:rsid w:val="00FC7FB0"/>
    <w:rsid w:val="00FD2113"/>
    <w:rsid w:val="00FD2345"/>
    <w:rsid w:val="00FD23FA"/>
    <w:rsid w:val="00FE1906"/>
    <w:rsid w:val="00FE1C96"/>
    <w:rsid w:val="00FE272A"/>
    <w:rsid w:val="00FE2C8D"/>
    <w:rsid w:val="00FE3E06"/>
    <w:rsid w:val="00FE5246"/>
    <w:rsid w:val="00FE638A"/>
    <w:rsid w:val="00FE6A17"/>
    <w:rsid w:val="00FF056B"/>
    <w:rsid w:val="00FF275F"/>
    <w:rsid w:val="00FF429C"/>
    <w:rsid w:val="00FF6E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12995AD"/>
  <w15:docId w15:val="{5704EAA2-6578-4906-8DAA-E441B6EE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EA3"/>
    <w:rPr>
      <w:sz w:val="24"/>
      <w:szCs w:val="24"/>
    </w:rPr>
  </w:style>
  <w:style w:type="paragraph" w:styleId="Heading1">
    <w:name w:val="heading 1"/>
    <w:basedOn w:val="Normal"/>
    <w:next w:val="Normal"/>
    <w:qFormat/>
    <w:rsid w:val="002A22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60C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4242"/>
    <w:pPr>
      <w:tabs>
        <w:tab w:val="center" w:pos="4320"/>
        <w:tab w:val="right" w:pos="8640"/>
      </w:tabs>
    </w:pPr>
  </w:style>
  <w:style w:type="paragraph" w:styleId="Footer">
    <w:name w:val="footer"/>
    <w:basedOn w:val="Normal"/>
    <w:link w:val="FooterChar"/>
    <w:uiPriority w:val="99"/>
    <w:rsid w:val="00944242"/>
    <w:pPr>
      <w:tabs>
        <w:tab w:val="center" w:pos="4320"/>
        <w:tab w:val="right" w:pos="8640"/>
      </w:tabs>
    </w:pPr>
  </w:style>
  <w:style w:type="character" w:styleId="PageNumber">
    <w:name w:val="page number"/>
    <w:basedOn w:val="DefaultParagraphFont"/>
    <w:rsid w:val="00A63B06"/>
  </w:style>
  <w:style w:type="paragraph" w:styleId="NormalWeb">
    <w:name w:val="Normal (Web)"/>
    <w:basedOn w:val="Normal"/>
    <w:uiPriority w:val="99"/>
    <w:rsid w:val="00C75781"/>
    <w:pPr>
      <w:spacing w:before="100" w:beforeAutospacing="1" w:after="100" w:afterAutospacing="1"/>
    </w:pPr>
    <w:rPr>
      <w:rFonts w:ascii="Arial" w:hAnsi="Arial" w:cs="Arial"/>
    </w:rPr>
  </w:style>
  <w:style w:type="paragraph" w:styleId="BodyText">
    <w:name w:val="Body Text"/>
    <w:basedOn w:val="Normal"/>
    <w:link w:val="BodyTextChar"/>
    <w:rsid w:val="00DB779D"/>
    <w:pPr>
      <w:spacing w:line="360" w:lineRule="auto"/>
      <w:jc w:val="both"/>
    </w:pPr>
    <w:rPr>
      <w:rFonts w:ascii="Arial" w:hAnsi="Arial"/>
      <w:szCs w:val="20"/>
    </w:rPr>
  </w:style>
  <w:style w:type="character" w:customStyle="1" w:styleId="BodyTextChar">
    <w:name w:val="Body Text Char"/>
    <w:basedOn w:val="DefaultParagraphFont"/>
    <w:link w:val="BodyText"/>
    <w:rsid w:val="00DB779D"/>
    <w:rPr>
      <w:rFonts w:ascii="Arial" w:hAnsi="Arial"/>
      <w:sz w:val="24"/>
    </w:rPr>
  </w:style>
  <w:style w:type="paragraph" w:styleId="BalloonText">
    <w:name w:val="Balloon Text"/>
    <w:basedOn w:val="Normal"/>
    <w:link w:val="BalloonTextChar"/>
    <w:rsid w:val="00293406"/>
    <w:rPr>
      <w:rFonts w:ascii="Tahoma" w:hAnsi="Tahoma" w:cs="Tahoma"/>
      <w:sz w:val="16"/>
      <w:szCs w:val="16"/>
    </w:rPr>
  </w:style>
  <w:style w:type="character" w:customStyle="1" w:styleId="BalloonTextChar">
    <w:name w:val="Balloon Text Char"/>
    <w:basedOn w:val="DefaultParagraphFont"/>
    <w:link w:val="BalloonText"/>
    <w:rsid w:val="00293406"/>
    <w:rPr>
      <w:rFonts w:ascii="Tahoma" w:hAnsi="Tahoma" w:cs="Tahoma"/>
      <w:sz w:val="16"/>
      <w:szCs w:val="16"/>
    </w:rPr>
  </w:style>
  <w:style w:type="character" w:styleId="LineNumber">
    <w:name w:val="line number"/>
    <w:basedOn w:val="DefaultParagraphFont"/>
    <w:rsid w:val="00F976D3"/>
  </w:style>
  <w:style w:type="paragraph" w:styleId="ListParagraph">
    <w:name w:val="List Paragraph"/>
    <w:basedOn w:val="Normal"/>
    <w:link w:val="ListParagraphChar"/>
    <w:uiPriority w:val="1"/>
    <w:qFormat/>
    <w:rsid w:val="00F976D3"/>
    <w:pPr>
      <w:ind w:left="720"/>
      <w:contextualSpacing/>
    </w:pPr>
  </w:style>
  <w:style w:type="paragraph" w:customStyle="1" w:styleId="Style1">
    <w:name w:val="Style1"/>
    <w:basedOn w:val="Normal"/>
    <w:link w:val="Style1Char"/>
    <w:qFormat/>
    <w:rsid w:val="00150AF6"/>
    <w:rPr>
      <w:lang w:val="en-CA"/>
    </w:rPr>
  </w:style>
  <w:style w:type="character" w:customStyle="1" w:styleId="Style1Char">
    <w:name w:val="Style1 Char"/>
    <w:basedOn w:val="DefaultParagraphFont"/>
    <w:link w:val="Style1"/>
    <w:rsid w:val="00150AF6"/>
    <w:rPr>
      <w:sz w:val="24"/>
      <w:szCs w:val="24"/>
      <w:lang w:val="en-CA"/>
    </w:rPr>
  </w:style>
  <w:style w:type="character" w:styleId="Strong">
    <w:name w:val="Strong"/>
    <w:basedOn w:val="DefaultParagraphFont"/>
    <w:uiPriority w:val="22"/>
    <w:qFormat/>
    <w:rsid w:val="003D5D09"/>
    <w:rPr>
      <w:b/>
      <w:bCs/>
    </w:rPr>
  </w:style>
  <w:style w:type="character" w:styleId="Hyperlink">
    <w:name w:val="Hyperlink"/>
    <w:basedOn w:val="DefaultParagraphFont"/>
    <w:uiPriority w:val="99"/>
    <w:unhideWhenUsed/>
    <w:rsid w:val="003D5D09"/>
    <w:rPr>
      <w:color w:val="0000FF"/>
      <w:u w:val="single"/>
    </w:rPr>
  </w:style>
  <w:style w:type="character" w:customStyle="1" w:styleId="style51">
    <w:name w:val="style51"/>
    <w:basedOn w:val="DefaultParagraphFont"/>
    <w:rsid w:val="003D5D09"/>
    <w:rPr>
      <w:rFonts w:ascii="Arial" w:hAnsi="Arial" w:cs="Arial" w:hint="default"/>
      <w:b/>
      <w:bCs/>
      <w:sz w:val="20"/>
      <w:szCs w:val="20"/>
    </w:rPr>
  </w:style>
  <w:style w:type="character" w:customStyle="1" w:styleId="style31">
    <w:name w:val="style31"/>
    <w:basedOn w:val="DefaultParagraphFont"/>
    <w:rsid w:val="003D5D09"/>
    <w:rPr>
      <w:rFonts w:ascii="Arial" w:hAnsi="Arial" w:cs="Arial" w:hint="default"/>
      <w:sz w:val="20"/>
      <w:szCs w:val="20"/>
    </w:rPr>
  </w:style>
  <w:style w:type="character" w:styleId="CommentReference">
    <w:name w:val="annotation reference"/>
    <w:basedOn w:val="DefaultParagraphFont"/>
    <w:uiPriority w:val="99"/>
    <w:rsid w:val="00192F4F"/>
    <w:rPr>
      <w:sz w:val="16"/>
      <w:szCs w:val="16"/>
    </w:rPr>
  </w:style>
  <w:style w:type="paragraph" w:styleId="CommentText">
    <w:name w:val="annotation text"/>
    <w:basedOn w:val="Normal"/>
    <w:link w:val="CommentTextChar"/>
    <w:rsid w:val="00192F4F"/>
    <w:rPr>
      <w:sz w:val="20"/>
      <w:szCs w:val="20"/>
    </w:rPr>
  </w:style>
  <w:style w:type="character" w:customStyle="1" w:styleId="CommentTextChar">
    <w:name w:val="Comment Text Char"/>
    <w:basedOn w:val="DefaultParagraphFont"/>
    <w:link w:val="CommentText"/>
    <w:rsid w:val="00192F4F"/>
  </w:style>
  <w:style w:type="paragraph" w:styleId="CommentSubject">
    <w:name w:val="annotation subject"/>
    <w:basedOn w:val="CommentText"/>
    <w:next w:val="CommentText"/>
    <w:link w:val="CommentSubjectChar"/>
    <w:rsid w:val="00192F4F"/>
    <w:rPr>
      <w:b/>
      <w:bCs/>
    </w:rPr>
  </w:style>
  <w:style w:type="character" w:customStyle="1" w:styleId="CommentSubjectChar">
    <w:name w:val="Comment Subject Char"/>
    <w:basedOn w:val="CommentTextChar"/>
    <w:link w:val="CommentSubject"/>
    <w:rsid w:val="00192F4F"/>
    <w:rPr>
      <w:b/>
      <w:bCs/>
    </w:rPr>
  </w:style>
  <w:style w:type="character" w:customStyle="1" w:styleId="HeaderChar">
    <w:name w:val="Header Char"/>
    <w:basedOn w:val="DefaultParagraphFont"/>
    <w:link w:val="Header"/>
    <w:uiPriority w:val="99"/>
    <w:rsid w:val="00DD77A4"/>
    <w:rPr>
      <w:sz w:val="24"/>
      <w:szCs w:val="24"/>
    </w:rPr>
  </w:style>
  <w:style w:type="character" w:customStyle="1" w:styleId="FooterChar">
    <w:name w:val="Footer Char"/>
    <w:basedOn w:val="DefaultParagraphFont"/>
    <w:link w:val="Footer"/>
    <w:uiPriority w:val="99"/>
    <w:rsid w:val="009329B8"/>
    <w:rPr>
      <w:sz w:val="24"/>
      <w:szCs w:val="24"/>
    </w:rPr>
  </w:style>
  <w:style w:type="paragraph" w:customStyle="1" w:styleId="Default">
    <w:name w:val="Default"/>
    <w:rsid w:val="006F4F0B"/>
    <w:pPr>
      <w:autoSpaceDE w:val="0"/>
      <w:autoSpaceDN w:val="0"/>
      <w:adjustRightInd w:val="0"/>
    </w:pPr>
    <w:rPr>
      <w:rFonts w:eastAsiaTheme="minorHAnsi"/>
      <w:color w:val="000000"/>
      <w:sz w:val="24"/>
      <w:szCs w:val="24"/>
    </w:rPr>
  </w:style>
  <w:style w:type="paragraph" w:styleId="PlainText">
    <w:name w:val="Plain Text"/>
    <w:basedOn w:val="Normal"/>
    <w:link w:val="PlainTextChar"/>
    <w:uiPriority w:val="99"/>
    <w:unhideWhenUsed/>
    <w:rsid w:val="001C407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C407D"/>
    <w:rPr>
      <w:rFonts w:ascii="Consolas" w:eastAsiaTheme="minorHAnsi" w:hAnsi="Consolas" w:cstheme="minorBidi"/>
      <w:sz w:val="21"/>
      <w:szCs w:val="21"/>
    </w:rPr>
  </w:style>
  <w:style w:type="paragraph" w:styleId="Revision">
    <w:name w:val="Revision"/>
    <w:hidden/>
    <w:uiPriority w:val="99"/>
    <w:semiHidden/>
    <w:rsid w:val="00EA4AC8"/>
    <w:rPr>
      <w:sz w:val="24"/>
      <w:szCs w:val="24"/>
    </w:rPr>
  </w:style>
  <w:style w:type="paragraph" w:customStyle="1" w:styleId="m6021090751159284959default">
    <w:name w:val="m_6021090751159284959default"/>
    <w:basedOn w:val="Normal"/>
    <w:rsid w:val="00F00CA1"/>
    <w:pPr>
      <w:spacing w:before="100" w:beforeAutospacing="1" w:after="100" w:afterAutospacing="1"/>
    </w:pPr>
    <w:rPr>
      <w:rFonts w:eastAsiaTheme="minorHAnsi"/>
      <w:lang w:val="en-CA" w:eastAsia="en-CA"/>
    </w:rPr>
  </w:style>
  <w:style w:type="paragraph" w:styleId="Title">
    <w:name w:val="Title"/>
    <w:basedOn w:val="Normal"/>
    <w:next w:val="Normal"/>
    <w:link w:val="TitleChar"/>
    <w:qFormat/>
    <w:rsid w:val="00B642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642D9"/>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DA06A4"/>
    <w:rPr>
      <w:color w:val="800080" w:themeColor="followedHyperlink"/>
      <w:u w:val="single"/>
    </w:rPr>
  </w:style>
  <w:style w:type="character" w:styleId="UnresolvedMention">
    <w:name w:val="Unresolved Mention"/>
    <w:basedOn w:val="DefaultParagraphFont"/>
    <w:uiPriority w:val="99"/>
    <w:semiHidden/>
    <w:unhideWhenUsed/>
    <w:rsid w:val="00D16062"/>
    <w:rPr>
      <w:color w:val="605E5C"/>
      <w:shd w:val="clear" w:color="auto" w:fill="E1DFDD"/>
    </w:rPr>
  </w:style>
  <w:style w:type="character" w:customStyle="1" w:styleId="Heading2Char">
    <w:name w:val="Heading 2 Char"/>
    <w:basedOn w:val="DefaultParagraphFont"/>
    <w:link w:val="Heading2"/>
    <w:semiHidden/>
    <w:rsid w:val="00760CF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rsid w:val="000B78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4679">
      <w:bodyDiv w:val="1"/>
      <w:marLeft w:val="0"/>
      <w:marRight w:val="0"/>
      <w:marTop w:val="0"/>
      <w:marBottom w:val="0"/>
      <w:divBdr>
        <w:top w:val="none" w:sz="0" w:space="0" w:color="auto"/>
        <w:left w:val="none" w:sz="0" w:space="0" w:color="auto"/>
        <w:bottom w:val="none" w:sz="0" w:space="0" w:color="auto"/>
        <w:right w:val="none" w:sz="0" w:space="0" w:color="auto"/>
      </w:divBdr>
      <w:divsChild>
        <w:div w:id="1974823617">
          <w:marLeft w:val="0"/>
          <w:marRight w:val="0"/>
          <w:marTop w:val="0"/>
          <w:marBottom w:val="0"/>
          <w:divBdr>
            <w:top w:val="none" w:sz="0" w:space="0" w:color="auto"/>
            <w:left w:val="none" w:sz="0" w:space="0" w:color="auto"/>
            <w:bottom w:val="none" w:sz="0" w:space="0" w:color="auto"/>
            <w:right w:val="none" w:sz="0" w:space="0" w:color="auto"/>
          </w:divBdr>
          <w:divsChild>
            <w:div w:id="939679690">
              <w:marLeft w:val="0"/>
              <w:marRight w:val="0"/>
              <w:marTop w:val="0"/>
              <w:marBottom w:val="0"/>
              <w:divBdr>
                <w:top w:val="none" w:sz="0" w:space="0" w:color="auto"/>
                <w:left w:val="none" w:sz="0" w:space="0" w:color="auto"/>
                <w:bottom w:val="none" w:sz="0" w:space="0" w:color="auto"/>
                <w:right w:val="none" w:sz="0" w:space="0" w:color="auto"/>
              </w:divBdr>
              <w:divsChild>
                <w:div w:id="954139439">
                  <w:marLeft w:val="0"/>
                  <w:marRight w:val="0"/>
                  <w:marTop w:val="0"/>
                  <w:marBottom w:val="0"/>
                  <w:divBdr>
                    <w:top w:val="none" w:sz="0" w:space="0" w:color="auto"/>
                    <w:left w:val="none" w:sz="0" w:space="0" w:color="auto"/>
                    <w:bottom w:val="none" w:sz="0" w:space="0" w:color="auto"/>
                    <w:right w:val="none" w:sz="0" w:space="0" w:color="auto"/>
                  </w:divBdr>
                  <w:divsChild>
                    <w:div w:id="1016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74859">
      <w:bodyDiv w:val="1"/>
      <w:marLeft w:val="0"/>
      <w:marRight w:val="0"/>
      <w:marTop w:val="0"/>
      <w:marBottom w:val="0"/>
      <w:divBdr>
        <w:top w:val="none" w:sz="0" w:space="0" w:color="auto"/>
        <w:left w:val="none" w:sz="0" w:space="0" w:color="auto"/>
        <w:bottom w:val="none" w:sz="0" w:space="0" w:color="auto"/>
        <w:right w:val="none" w:sz="0" w:space="0" w:color="auto"/>
      </w:divBdr>
      <w:divsChild>
        <w:div w:id="1949895524">
          <w:marLeft w:val="0"/>
          <w:marRight w:val="0"/>
          <w:marTop w:val="0"/>
          <w:marBottom w:val="0"/>
          <w:divBdr>
            <w:top w:val="none" w:sz="0" w:space="0" w:color="auto"/>
            <w:left w:val="none" w:sz="0" w:space="0" w:color="auto"/>
            <w:bottom w:val="none" w:sz="0" w:space="0" w:color="auto"/>
            <w:right w:val="none" w:sz="0" w:space="0" w:color="auto"/>
          </w:divBdr>
          <w:divsChild>
            <w:div w:id="838665162">
              <w:marLeft w:val="0"/>
              <w:marRight w:val="0"/>
              <w:marTop w:val="0"/>
              <w:marBottom w:val="0"/>
              <w:divBdr>
                <w:top w:val="none" w:sz="0" w:space="0" w:color="auto"/>
                <w:left w:val="none" w:sz="0" w:space="0" w:color="auto"/>
                <w:bottom w:val="none" w:sz="0" w:space="0" w:color="auto"/>
                <w:right w:val="none" w:sz="0" w:space="0" w:color="auto"/>
              </w:divBdr>
              <w:divsChild>
                <w:div w:id="61753120">
                  <w:marLeft w:val="0"/>
                  <w:marRight w:val="0"/>
                  <w:marTop w:val="0"/>
                  <w:marBottom w:val="0"/>
                  <w:divBdr>
                    <w:top w:val="none" w:sz="0" w:space="0" w:color="auto"/>
                    <w:left w:val="none" w:sz="0" w:space="0" w:color="auto"/>
                    <w:bottom w:val="none" w:sz="0" w:space="0" w:color="auto"/>
                    <w:right w:val="none" w:sz="0" w:space="0" w:color="auto"/>
                  </w:divBdr>
                  <w:divsChild>
                    <w:div w:id="17609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12807">
      <w:bodyDiv w:val="1"/>
      <w:marLeft w:val="0"/>
      <w:marRight w:val="0"/>
      <w:marTop w:val="0"/>
      <w:marBottom w:val="0"/>
      <w:divBdr>
        <w:top w:val="none" w:sz="0" w:space="0" w:color="auto"/>
        <w:left w:val="none" w:sz="0" w:space="0" w:color="auto"/>
        <w:bottom w:val="none" w:sz="0" w:space="0" w:color="auto"/>
        <w:right w:val="none" w:sz="0" w:space="0" w:color="auto"/>
      </w:divBdr>
    </w:div>
    <w:div w:id="664092819">
      <w:bodyDiv w:val="1"/>
      <w:marLeft w:val="0"/>
      <w:marRight w:val="0"/>
      <w:marTop w:val="0"/>
      <w:marBottom w:val="0"/>
      <w:divBdr>
        <w:top w:val="none" w:sz="0" w:space="0" w:color="auto"/>
        <w:left w:val="none" w:sz="0" w:space="0" w:color="auto"/>
        <w:bottom w:val="none" w:sz="0" w:space="0" w:color="auto"/>
        <w:right w:val="none" w:sz="0" w:space="0" w:color="auto"/>
      </w:divBdr>
      <w:divsChild>
        <w:div w:id="1591767302">
          <w:marLeft w:val="0"/>
          <w:marRight w:val="0"/>
          <w:marTop w:val="0"/>
          <w:marBottom w:val="0"/>
          <w:divBdr>
            <w:top w:val="none" w:sz="0" w:space="0" w:color="auto"/>
            <w:left w:val="none" w:sz="0" w:space="0" w:color="auto"/>
            <w:bottom w:val="none" w:sz="0" w:space="0" w:color="auto"/>
            <w:right w:val="none" w:sz="0" w:space="0" w:color="auto"/>
          </w:divBdr>
          <w:divsChild>
            <w:div w:id="635331640">
              <w:marLeft w:val="0"/>
              <w:marRight w:val="0"/>
              <w:marTop w:val="0"/>
              <w:marBottom w:val="0"/>
              <w:divBdr>
                <w:top w:val="none" w:sz="0" w:space="0" w:color="auto"/>
                <w:left w:val="none" w:sz="0" w:space="0" w:color="auto"/>
                <w:bottom w:val="none" w:sz="0" w:space="0" w:color="auto"/>
                <w:right w:val="none" w:sz="0" w:space="0" w:color="auto"/>
              </w:divBdr>
              <w:divsChild>
                <w:div w:id="962266727">
                  <w:marLeft w:val="0"/>
                  <w:marRight w:val="0"/>
                  <w:marTop w:val="0"/>
                  <w:marBottom w:val="0"/>
                  <w:divBdr>
                    <w:top w:val="none" w:sz="0" w:space="0" w:color="auto"/>
                    <w:left w:val="none" w:sz="0" w:space="0" w:color="auto"/>
                    <w:bottom w:val="none" w:sz="0" w:space="0" w:color="auto"/>
                    <w:right w:val="none" w:sz="0" w:space="0" w:color="auto"/>
                  </w:divBdr>
                  <w:divsChild>
                    <w:div w:id="6131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9525">
      <w:bodyDiv w:val="1"/>
      <w:marLeft w:val="0"/>
      <w:marRight w:val="0"/>
      <w:marTop w:val="0"/>
      <w:marBottom w:val="0"/>
      <w:divBdr>
        <w:top w:val="none" w:sz="0" w:space="0" w:color="auto"/>
        <w:left w:val="none" w:sz="0" w:space="0" w:color="auto"/>
        <w:bottom w:val="none" w:sz="0" w:space="0" w:color="auto"/>
        <w:right w:val="none" w:sz="0" w:space="0" w:color="auto"/>
      </w:divBdr>
    </w:div>
    <w:div w:id="940259731">
      <w:bodyDiv w:val="1"/>
      <w:marLeft w:val="0"/>
      <w:marRight w:val="0"/>
      <w:marTop w:val="0"/>
      <w:marBottom w:val="0"/>
      <w:divBdr>
        <w:top w:val="none" w:sz="0" w:space="0" w:color="auto"/>
        <w:left w:val="none" w:sz="0" w:space="0" w:color="auto"/>
        <w:bottom w:val="none" w:sz="0" w:space="0" w:color="auto"/>
        <w:right w:val="none" w:sz="0" w:space="0" w:color="auto"/>
      </w:divBdr>
      <w:divsChild>
        <w:div w:id="1259676599">
          <w:marLeft w:val="0"/>
          <w:marRight w:val="0"/>
          <w:marTop w:val="0"/>
          <w:marBottom w:val="0"/>
          <w:divBdr>
            <w:top w:val="none" w:sz="0" w:space="0" w:color="auto"/>
            <w:left w:val="none" w:sz="0" w:space="0" w:color="auto"/>
            <w:bottom w:val="none" w:sz="0" w:space="0" w:color="auto"/>
            <w:right w:val="none" w:sz="0" w:space="0" w:color="auto"/>
          </w:divBdr>
          <w:divsChild>
            <w:div w:id="1353259035">
              <w:marLeft w:val="0"/>
              <w:marRight w:val="0"/>
              <w:marTop w:val="0"/>
              <w:marBottom w:val="0"/>
              <w:divBdr>
                <w:top w:val="none" w:sz="0" w:space="0" w:color="auto"/>
                <w:left w:val="none" w:sz="0" w:space="0" w:color="auto"/>
                <w:bottom w:val="none" w:sz="0" w:space="0" w:color="auto"/>
                <w:right w:val="none" w:sz="0" w:space="0" w:color="auto"/>
              </w:divBdr>
              <w:divsChild>
                <w:div w:id="136460658">
                  <w:marLeft w:val="0"/>
                  <w:marRight w:val="0"/>
                  <w:marTop w:val="0"/>
                  <w:marBottom w:val="0"/>
                  <w:divBdr>
                    <w:top w:val="none" w:sz="0" w:space="0" w:color="auto"/>
                    <w:left w:val="none" w:sz="0" w:space="0" w:color="auto"/>
                    <w:bottom w:val="none" w:sz="0" w:space="0" w:color="auto"/>
                    <w:right w:val="none" w:sz="0" w:space="0" w:color="auto"/>
                  </w:divBdr>
                  <w:divsChild>
                    <w:div w:id="12828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2264">
      <w:bodyDiv w:val="1"/>
      <w:marLeft w:val="0"/>
      <w:marRight w:val="0"/>
      <w:marTop w:val="0"/>
      <w:marBottom w:val="0"/>
      <w:divBdr>
        <w:top w:val="none" w:sz="0" w:space="0" w:color="auto"/>
        <w:left w:val="none" w:sz="0" w:space="0" w:color="auto"/>
        <w:bottom w:val="none" w:sz="0" w:space="0" w:color="auto"/>
        <w:right w:val="none" w:sz="0" w:space="0" w:color="auto"/>
      </w:divBdr>
    </w:div>
    <w:div w:id="1048603991">
      <w:bodyDiv w:val="1"/>
      <w:marLeft w:val="0"/>
      <w:marRight w:val="0"/>
      <w:marTop w:val="0"/>
      <w:marBottom w:val="0"/>
      <w:divBdr>
        <w:top w:val="none" w:sz="0" w:space="0" w:color="auto"/>
        <w:left w:val="none" w:sz="0" w:space="0" w:color="auto"/>
        <w:bottom w:val="none" w:sz="0" w:space="0" w:color="auto"/>
        <w:right w:val="none" w:sz="0" w:space="0" w:color="auto"/>
      </w:divBdr>
    </w:div>
    <w:div w:id="1084645671">
      <w:bodyDiv w:val="1"/>
      <w:marLeft w:val="0"/>
      <w:marRight w:val="0"/>
      <w:marTop w:val="0"/>
      <w:marBottom w:val="0"/>
      <w:divBdr>
        <w:top w:val="none" w:sz="0" w:space="0" w:color="auto"/>
        <w:left w:val="none" w:sz="0" w:space="0" w:color="auto"/>
        <w:bottom w:val="none" w:sz="0" w:space="0" w:color="auto"/>
        <w:right w:val="none" w:sz="0" w:space="0" w:color="auto"/>
      </w:divBdr>
    </w:div>
    <w:div w:id="1110053630">
      <w:bodyDiv w:val="1"/>
      <w:marLeft w:val="0"/>
      <w:marRight w:val="0"/>
      <w:marTop w:val="0"/>
      <w:marBottom w:val="0"/>
      <w:divBdr>
        <w:top w:val="none" w:sz="0" w:space="0" w:color="auto"/>
        <w:left w:val="none" w:sz="0" w:space="0" w:color="auto"/>
        <w:bottom w:val="none" w:sz="0" w:space="0" w:color="auto"/>
        <w:right w:val="none" w:sz="0" w:space="0" w:color="auto"/>
      </w:divBdr>
    </w:div>
    <w:div w:id="1171457412">
      <w:bodyDiv w:val="1"/>
      <w:marLeft w:val="0"/>
      <w:marRight w:val="0"/>
      <w:marTop w:val="0"/>
      <w:marBottom w:val="0"/>
      <w:divBdr>
        <w:top w:val="none" w:sz="0" w:space="0" w:color="auto"/>
        <w:left w:val="none" w:sz="0" w:space="0" w:color="auto"/>
        <w:bottom w:val="none" w:sz="0" w:space="0" w:color="auto"/>
        <w:right w:val="none" w:sz="0" w:space="0" w:color="auto"/>
      </w:divBdr>
      <w:divsChild>
        <w:div w:id="1489135098">
          <w:marLeft w:val="0"/>
          <w:marRight w:val="0"/>
          <w:marTop w:val="0"/>
          <w:marBottom w:val="0"/>
          <w:divBdr>
            <w:top w:val="none" w:sz="0" w:space="0" w:color="auto"/>
            <w:left w:val="none" w:sz="0" w:space="0" w:color="auto"/>
            <w:bottom w:val="none" w:sz="0" w:space="0" w:color="auto"/>
            <w:right w:val="none" w:sz="0" w:space="0" w:color="auto"/>
          </w:divBdr>
          <w:divsChild>
            <w:div w:id="1296839379">
              <w:marLeft w:val="0"/>
              <w:marRight w:val="0"/>
              <w:marTop w:val="0"/>
              <w:marBottom w:val="0"/>
              <w:divBdr>
                <w:top w:val="none" w:sz="0" w:space="0" w:color="auto"/>
                <w:left w:val="none" w:sz="0" w:space="0" w:color="auto"/>
                <w:bottom w:val="none" w:sz="0" w:space="0" w:color="auto"/>
                <w:right w:val="none" w:sz="0" w:space="0" w:color="auto"/>
              </w:divBdr>
              <w:divsChild>
                <w:div w:id="240330149">
                  <w:marLeft w:val="0"/>
                  <w:marRight w:val="0"/>
                  <w:marTop w:val="0"/>
                  <w:marBottom w:val="0"/>
                  <w:divBdr>
                    <w:top w:val="none" w:sz="0" w:space="0" w:color="auto"/>
                    <w:left w:val="none" w:sz="0" w:space="0" w:color="auto"/>
                    <w:bottom w:val="none" w:sz="0" w:space="0" w:color="auto"/>
                    <w:right w:val="none" w:sz="0" w:space="0" w:color="auto"/>
                  </w:divBdr>
                  <w:divsChild>
                    <w:div w:id="18184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6456">
      <w:bodyDiv w:val="1"/>
      <w:marLeft w:val="0"/>
      <w:marRight w:val="0"/>
      <w:marTop w:val="0"/>
      <w:marBottom w:val="0"/>
      <w:divBdr>
        <w:top w:val="none" w:sz="0" w:space="0" w:color="auto"/>
        <w:left w:val="none" w:sz="0" w:space="0" w:color="auto"/>
        <w:bottom w:val="none" w:sz="0" w:space="0" w:color="auto"/>
        <w:right w:val="none" w:sz="0" w:space="0" w:color="auto"/>
      </w:divBdr>
      <w:divsChild>
        <w:div w:id="694381143">
          <w:marLeft w:val="0"/>
          <w:marRight w:val="0"/>
          <w:marTop w:val="0"/>
          <w:marBottom w:val="0"/>
          <w:divBdr>
            <w:top w:val="none" w:sz="0" w:space="0" w:color="auto"/>
            <w:left w:val="none" w:sz="0" w:space="0" w:color="auto"/>
            <w:bottom w:val="none" w:sz="0" w:space="0" w:color="auto"/>
            <w:right w:val="none" w:sz="0" w:space="0" w:color="auto"/>
          </w:divBdr>
          <w:divsChild>
            <w:div w:id="133836477">
              <w:marLeft w:val="0"/>
              <w:marRight w:val="0"/>
              <w:marTop w:val="0"/>
              <w:marBottom w:val="0"/>
              <w:divBdr>
                <w:top w:val="none" w:sz="0" w:space="0" w:color="auto"/>
                <w:left w:val="none" w:sz="0" w:space="0" w:color="auto"/>
                <w:bottom w:val="none" w:sz="0" w:space="0" w:color="auto"/>
                <w:right w:val="none" w:sz="0" w:space="0" w:color="auto"/>
              </w:divBdr>
              <w:divsChild>
                <w:div w:id="965163779">
                  <w:marLeft w:val="0"/>
                  <w:marRight w:val="0"/>
                  <w:marTop w:val="0"/>
                  <w:marBottom w:val="0"/>
                  <w:divBdr>
                    <w:top w:val="none" w:sz="0" w:space="0" w:color="auto"/>
                    <w:left w:val="none" w:sz="0" w:space="0" w:color="auto"/>
                    <w:bottom w:val="none" w:sz="0" w:space="0" w:color="auto"/>
                    <w:right w:val="none" w:sz="0" w:space="0" w:color="auto"/>
                  </w:divBdr>
                  <w:divsChild>
                    <w:div w:id="20766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76472">
      <w:bodyDiv w:val="1"/>
      <w:marLeft w:val="0"/>
      <w:marRight w:val="0"/>
      <w:marTop w:val="0"/>
      <w:marBottom w:val="0"/>
      <w:divBdr>
        <w:top w:val="none" w:sz="0" w:space="0" w:color="auto"/>
        <w:left w:val="none" w:sz="0" w:space="0" w:color="auto"/>
        <w:bottom w:val="none" w:sz="0" w:space="0" w:color="auto"/>
        <w:right w:val="none" w:sz="0" w:space="0" w:color="auto"/>
      </w:divBdr>
    </w:div>
    <w:div w:id="1439526531">
      <w:bodyDiv w:val="1"/>
      <w:marLeft w:val="0"/>
      <w:marRight w:val="0"/>
      <w:marTop w:val="0"/>
      <w:marBottom w:val="0"/>
      <w:divBdr>
        <w:top w:val="none" w:sz="0" w:space="0" w:color="auto"/>
        <w:left w:val="none" w:sz="0" w:space="0" w:color="auto"/>
        <w:bottom w:val="none" w:sz="0" w:space="0" w:color="auto"/>
        <w:right w:val="none" w:sz="0" w:space="0" w:color="auto"/>
      </w:divBdr>
    </w:div>
    <w:div w:id="1717927796">
      <w:bodyDiv w:val="1"/>
      <w:marLeft w:val="0"/>
      <w:marRight w:val="0"/>
      <w:marTop w:val="0"/>
      <w:marBottom w:val="0"/>
      <w:divBdr>
        <w:top w:val="none" w:sz="0" w:space="0" w:color="auto"/>
        <w:left w:val="none" w:sz="0" w:space="0" w:color="auto"/>
        <w:bottom w:val="none" w:sz="0" w:space="0" w:color="auto"/>
        <w:right w:val="none" w:sz="0" w:space="0" w:color="auto"/>
      </w:divBdr>
      <w:divsChild>
        <w:div w:id="313722746">
          <w:marLeft w:val="0"/>
          <w:marRight w:val="0"/>
          <w:marTop w:val="0"/>
          <w:marBottom w:val="0"/>
          <w:divBdr>
            <w:top w:val="none" w:sz="0" w:space="0" w:color="auto"/>
            <w:left w:val="none" w:sz="0" w:space="0" w:color="auto"/>
            <w:bottom w:val="none" w:sz="0" w:space="0" w:color="auto"/>
            <w:right w:val="none" w:sz="0" w:space="0" w:color="auto"/>
          </w:divBdr>
          <w:divsChild>
            <w:div w:id="1658730644">
              <w:marLeft w:val="0"/>
              <w:marRight w:val="0"/>
              <w:marTop w:val="0"/>
              <w:marBottom w:val="0"/>
              <w:divBdr>
                <w:top w:val="none" w:sz="0" w:space="0" w:color="auto"/>
                <w:left w:val="none" w:sz="0" w:space="0" w:color="auto"/>
                <w:bottom w:val="none" w:sz="0" w:space="0" w:color="auto"/>
                <w:right w:val="none" w:sz="0" w:space="0" w:color="auto"/>
              </w:divBdr>
              <w:divsChild>
                <w:div w:id="77144262">
                  <w:marLeft w:val="0"/>
                  <w:marRight w:val="0"/>
                  <w:marTop w:val="0"/>
                  <w:marBottom w:val="0"/>
                  <w:divBdr>
                    <w:top w:val="none" w:sz="0" w:space="0" w:color="auto"/>
                    <w:left w:val="none" w:sz="0" w:space="0" w:color="auto"/>
                    <w:bottom w:val="none" w:sz="0" w:space="0" w:color="auto"/>
                    <w:right w:val="none" w:sz="0" w:space="0" w:color="auto"/>
                  </w:divBdr>
                  <w:divsChild>
                    <w:div w:id="11349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9407">
      <w:bodyDiv w:val="1"/>
      <w:marLeft w:val="0"/>
      <w:marRight w:val="0"/>
      <w:marTop w:val="0"/>
      <w:marBottom w:val="0"/>
      <w:divBdr>
        <w:top w:val="none" w:sz="0" w:space="0" w:color="auto"/>
        <w:left w:val="none" w:sz="0" w:space="0" w:color="auto"/>
        <w:bottom w:val="none" w:sz="0" w:space="0" w:color="auto"/>
        <w:right w:val="none" w:sz="0" w:space="0" w:color="auto"/>
      </w:divBdr>
    </w:div>
    <w:div w:id="1839923802">
      <w:bodyDiv w:val="1"/>
      <w:marLeft w:val="0"/>
      <w:marRight w:val="0"/>
      <w:marTop w:val="0"/>
      <w:marBottom w:val="0"/>
      <w:divBdr>
        <w:top w:val="none" w:sz="0" w:space="0" w:color="auto"/>
        <w:left w:val="none" w:sz="0" w:space="0" w:color="auto"/>
        <w:bottom w:val="none" w:sz="0" w:space="0" w:color="auto"/>
        <w:right w:val="none" w:sz="0" w:space="0" w:color="auto"/>
      </w:divBdr>
      <w:divsChild>
        <w:div w:id="40326303">
          <w:marLeft w:val="1987"/>
          <w:marRight w:val="0"/>
          <w:marTop w:val="211"/>
          <w:marBottom w:val="0"/>
          <w:divBdr>
            <w:top w:val="none" w:sz="0" w:space="0" w:color="auto"/>
            <w:left w:val="none" w:sz="0" w:space="0" w:color="auto"/>
            <w:bottom w:val="none" w:sz="0" w:space="0" w:color="auto"/>
            <w:right w:val="none" w:sz="0" w:space="0" w:color="auto"/>
          </w:divBdr>
        </w:div>
        <w:div w:id="1084688773">
          <w:marLeft w:val="1987"/>
          <w:marRight w:val="0"/>
          <w:marTop w:val="211"/>
          <w:marBottom w:val="0"/>
          <w:divBdr>
            <w:top w:val="none" w:sz="0" w:space="0" w:color="auto"/>
            <w:left w:val="none" w:sz="0" w:space="0" w:color="auto"/>
            <w:bottom w:val="none" w:sz="0" w:space="0" w:color="auto"/>
            <w:right w:val="none" w:sz="0" w:space="0" w:color="auto"/>
          </w:divBdr>
        </w:div>
        <w:div w:id="1495413753">
          <w:marLeft w:val="1987"/>
          <w:marRight w:val="0"/>
          <w:marTop w:val="211"/>
          <w:marBottom w:val="0"/>
          <w:divBdr>
            <w:top w:val="none" w:sz="0" w:space="0" w:color="auto"/>
            <w:left w:val="none" w:sz="0" w:space="0" w:color="auto"/>
            <w:bottom w:val="none" w:sz="0" w:space="0" w:color="auto"/>
            <w:right w:val="none" w:sz="0" w:space="0" w:color="auto"/>
          </w:divBdr>
        </w:div>
      </w:divsChild>
    </w:div>
    <w:div w:id="1906181542">
      <w:bodyDiv w:val="1"/>
      <w:marLeft w:val="0"/>
      <w:marRight w:val="0"/>
      <w:marTop w:val="0"/>
      <w:marBottom w:val="0"/>
      <w:divBdr>
        <w:top w:val="none" w:sz="0" w:space="0" w:color="auto"/>
        <w:left w:val="none" w:sz="0" w:space="0" w:color="auto"/>
        <w:bottom w:val="none" w:sz="0" w:space="0" w:color="auto"/>
        <w:right w:val="none" w:sz="0" w:space="0" w:color="auto"/>
      </w:divBdr>
    </w:div>
    <w:div w:id="2043937518">
      <w:bodyDiv w:val="1"/>
      <w:marLeft w:val="0"/>
      <w:marRight w:val="0"/>
      <w:marTop w:val="0"/>
      <w:marBottom w:val="0"/>
      <w:divBdr>
        <w:top w:val="none" w:sz="0" w:space="0" w:color="auto"/>
        <w:left w:val="none" w:sz="0" w:space="0" w:color="auto"/>
        <w:bottom w:val="none" w:sz="0" w:space="0" w:color="auto"/>
        <w:right w:val="none" w:sz="0" w:space="0" w:color="auto"/>
      </w:divBdr>
    </w:div>
    <w:div w:id="2078429079">
      <w:bodyDiv w:val="1"/>
      <w:marLeft w:val="0"/>
      <w:marRight w:val="0"/>
      <w:marTop w:val="0"/>
      <w:marBottom w:val="0"/>
      <w:divBdr>
        <w:top w:val="none" w:sz="0" w:space="0" w:color="auto"/>
        <w:left w:val="none" w:sz="0" w:space="0" w:color="auto"/>
        <w:bottom w:val="none" w:sz="0" w:space="0" w:color="auto"/>
        <w:right w:val="none" w:sz="0" w:space="0" w:color="auto"/>
      </w:divBdr>
      <w:divsChild>
        <w:div w:id="1079516939">
          <w:marLeft w:val="0"/>
          <w:marRight w:val="0"/>
          <w:marTop w:val="0"/>
          <w:marBottom w:val="0"/>
          <w:divBdr>
            <w:top w:val="none" w:sz="0" w:space="0" w:color="auto"/>
            <w:left w:val="none" w:sz="0" w:space="0" w:color="auto"/>
            <w:bottom w:val="none" w:sz="0" w:space="0" w:color="auto"/>
            <w:right w:val="none" w:sz="0" w:space="0" w:color="auto"/>
          </w:divBdr>
          <w:divsChild>
            <w:div w:id="252252253">
              <w:marLeft w:val="0"/>
              <w:marRight w:val="0"/>
              <w:marTop w:val="0"/>
              <w:marBottom w:val="0"/>
              <w:divBdr>
                <w:top w:val="none" w:sz="0" w:space="0" w:color="auto"/>
                <w:left w:val="none" w:sz="0" w:space="0" w:color="auto"/>
                <w:bottom w:val="none" w:sz="0" w:space="0" w:color="auto"/>
                <w:right w:val="none" w:sz="0" w:space="0" w:color="auto"/>
              </w:divBdr>
              <w:divsChild>
                <w:div w:id="1550415080">
                  <w:marLeft w:val="0"/>
                  <w:marRight w:val="0"/>
                  <w:marTop w:val="0"/>
                  <w:marBottom w:val="0"/>
                  <w:divBdr>
                    <w:top w:val="none" w:sz="0" w:space="0" w:color="auto"/>
                    <w:left w:val="none" w:sz="0" w:space="0" w:color="auto"/>
                    <w:bottom w:val="none" w:sz="0" w:space="0" w:color="auto"/>
                    <w:right w:val="none" w:sz="0" w:space="0" w:color="auto"/>
                  </w:divBdr>
                  <w:divsChild>
                    <w:div w:id="11074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83D87-CDAD-46DF-9224-BDFF975E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2927</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(GN Logo)</vt:lpstr>
    </vt:vector>
  </TitlesOfParts>
  <Company>goverment of nunavut</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Logo)</dc:title>
  <dc:subject/>
  <dc:creator>Laurie-Anne</dc:creator>
  <cp:keywords/>
  <dc:description/>
  <cp:lastModifiedBy>Meriem - Parenty Reitmeier</cp:lastModifiedBy>
  <cp:revision>11</cp:revision>
  <cp:lastPrinted>2021-09-22T17:19:00Z</cp:lastPrinted>
  <dcterms:created xsi:type="dcterms:W3CDTF">2023-04-12T20:58:00Z</dcterms:created>
  <dcterms:modified xsi:type="dcterms:W3CDTF">2023-04-17T19:58:00Z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